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Cahier des charges (CDC)</w:t>
        <w:br/>
      </w:r>
      <w:r>
        <w:t>aligné sur la rédaction d’un Dossier d’Architecture Technique (DAT)</w:t>
        <w:br/>
        <w:t>Projet : Resume Matcher (fork personnel / adaptation open source)</w:t>
      </w:r>
    </w:p>
    <w:p>
      <w:r>
        <w:t>Rédigé par : François</w:t>
      </w:r>
    </w:p>
    <w:p>
      <w:r>
        <w:t>Version : 1.0</w:t>
      </w:r>
    </w:p>
    <w:p/>
    <w:p>
      <w:pPr>
        <w:pStyle w:val="Heading1"/>
      </w:pPr>
      <w:r>
        <w:t>1. Objet et portée du document</w:t>
      </w:r>
    </w:p>
    <w:p>
      <w:r>
        <w:t>Le présent cahier des charges fixe le besoin métier et technique pour la plateforme Resume Matcher dans une visée d’évolution vers un niveau production. Il sert d’entrée à la rédaction du DAT et aux revues d’architecture. Les écarts constatés entre dépôt originel et sauvegardes sont comblés par des exigences cibles (meilleures pratiques) à planifier.</w:t>
      </w:r>
    </w:p>
    <w:p>
      <w:pPr>
        <w:pStyle w:val="Heading1"/>
      </w:pPr>
      <w:r>
        <w:t>2. Parties prenantes</w:t>
      </w:r>
    </w:p>
    <w:p>
      <w:pPr>
        <w:pStyle w:val="ListBullet"/>
      </w:pPr>
      <w:r>
        <w:t>Maîtrise d’ouvrage / porteur produit : François.</w:t>
      </w:r>
    </w:p>
    <w:p>
      <w:pPr>
        <w:pStyle w:val="ListBullet"/>
      </w:pPr>
      <w:r>
        <w:t>Maîtrise d’œuvre : équipe de développement (interne / prestataire).</w:t>
      </w:r>
    </w:p>
    <w:p>
      <w:pPr>
        <w:pStyle w:val="ListBullet"/>
      </w:pPr>
      <w:r>
        <w:t>Utilisateurs cibles : candidat individuel (phase actuelle) ; extension possible RH (hors périmètre V1 production sans auth multi-compte).</w:t>
      </w:r>
    </w:p>
    <w:p>
      <w:pPr>
        <w:pStyle w:val="ListBullet"/>
      </w:pPr>
      <w:r>
        <w:t>Hébergeur / exploitation : à désigner (cloud managé ou on-premise selon politique données).</w:t>
      </w:r>
    </w:p>
    <w:p>
      <w:pPr>
        <w:pStyle w:val="Heading1"/>
      </w:pPr>
      <w:r>
        <w:t>3. Contexte et problématique</w:t>
      </w:r>
    </w:p>
    <w:p>
      <w:r>
        <w:t>Les candidats produisent souvent un CV générique sous-optimal pour les systèmes ATS et les recruteurs. L’application doit permettre d’importer un CV maître, d’injecter une offre, d’obtenir des suggestions structurées et d’exporter un rendu PDF professionnel cohérent avec une charte « Swiss International ».</w:t>
      </w:r>
    </w:p>
    <w:p>
      <w:pPr>
        <w:pStyle w:val="Heading1"/>
      </w:pPr>
      <w:r>
        <w:t>4. Objectifs SMART (cible industrielle)</w:t>
      </w:r>
    </w:p>
    <w:p>
      <w:pPr>
        <w:pStyle w:val="ListBullet"/>
      </w:pPr>
      <w:r>
        <w:t>Disponibilité cible : 99,5 % mensuel hors fenêtres planifiées (après durcissement infra).</w:t>
      </w:r>
    </w:p>
    <w:p>
      <w:pPr>
        <w:pStyle w:val="ListBullet"/>
      </w:pPr>
      <w:r>
        <w:t>Latence API amendables : P95 &lt; 3 s pour opérations non-LLM ; opérations LLM documentées comme « best effort » avec timeouts explicites.</w:t>
      </w:r>
    </w:p>
    <w:p>
      <w:pPr>
        <w:pStyle w:val="ListBullet"/>
      </w:pPr>
      <w:r>
        <w:t>Sécurité : absence de fuite de clés dans les logs ; chiffrement au repos pour la base ; TLS en transit.</w:t>
      </w:r>
    </w:p>
    <w:p>
      <w:pPr>
        <w:pStyle w:val="ListBullet"/>
      </w:pPr>
      <w:r>
        <w:t>Conformité : traçabilité des traitements, DPIA pour usage LLM cloud, droit à l’effacement.</w:t>
      </w:r>
    </w:p>
    <w:p>
      <w:pPr>
        <w:pStyle w:val="ListBullet"/>
      </w:pPr>
      <w:r>
        <w:t>Maintenabilité : couverture de tests minimale définie au DAT (seuils par couche).</w:t>
      </w:r>
    </w:p>
    <w:p>
      <w:pPr>
        <w:pStyle w:val="Heading1"/>
      </w:pPr>
      <w:r>
        <w:t>5. Exigences fonctionnelles</w:t>
      </w:r>
    </w:p>
    <w:p>
      <w:pPr>
        <w:pStyle w:val="Heading2"/>
      </w:pPr>
      <w:r>
        <w:t>5.1 Parcours principal</w:t>
      </w:r>
    </w:p>
    <w:p>
      <w:pPr>
        <w:pStyle w:val="ListBullet"/>
      </w:pPr>
      <w:r>
        <w:t>F1 — Importer un CV au format PDF ou DOCX et extraire un texte structuré exploitable.</w:t>
      </w:r>
    </w:p>
    <w:p>
      <w:pPr>
        <w:pStyle w:val="ListBullet"/>
      </w:pPr>
      <w:r>
        <w:t>F2 — Définir un CV maître et des CV dérivés par offre.</w:t>
      </w:r>
    </w:p>
    <w:p>
      <w:pPr>
        <w:pStyle w:val="ListBullet"/>
      </w:pPr>
      <w:r>
        <w:t>F3 — Saisir ou coller une offre d’emploi et la versionner côté serveur.</w:t>
      </w:r>
    </w:p>
    <w:p>
      <w:pPr>
        <w:pStyle w:val="ListBullet"/>
      </w:pPr>
      <w:r>
        <w:t>F4 — Lancer une amélioration / adaptation du CV (appels LLM orchestrés).</w:t>
      </w:r>
    </w:p>
    <w:p>
      <w:pPr>
        <w:pStyle w:val="ListBullet"/>
      </w:pPr>
      <w:r>
        <w:t>F5 — Générer lettre de motivation et message de prise de contact (optionnel ou onglet dédié).</w:t>
      </w:r>
    </w:p>
    <w:p>
      <w:pPr>
        <w:pStyle w:val="ListBullet"/>
      </w:pPr>
      <w:r>
        <w:t>F6 — Prévisualiser le rendu paginé et exporter en PDF.</w:t>
      </w:r>
    </w:p>
    <w:p>
      <w:pPr>
        <w:pStyle w:val="ListBullet"/>
      </w:pPr>
      <w:r>
        <w:t>F7 — Paramétrer le fournisseur LLM, le modèle et tester la connectivité.</w:t>
      </w:r>
    </w:p>
    <w:p>
      <w:pPr>
        <w:pStyle w:val="ListBullet"/>
      </w:pPr>
      <w:r>
        <w:t>F8 — Internationalisation de l’interface (langues supportées selon dépôt).</w:t>
      </w:r>
    </w:p>
    <w:p>
      <w:pPr>
        <w:pStyle w:val="Heading2"/>
      </w:pPr>
      <w:r>
        <w:t>5.2 Configuration</w:t>
      </w:r>
    </w:p>
    <w:p>
      <w:pPr>
        <w:pStyle w:val="ListBullet"/>
      </w:pPr>
      <w:r>
        <w:t>C1 — Lecture/écriture configuration LLM (clé, base URL, fournisseur) avec priorité documentée (fichier / env / UI).</w:t>
      </w:r>
    </w:p>
    <w:p>
      <w:pPr>
        <w:pStyle w:val="ListBullet"/>
      </w:pPr>
      <w:r>
        <w:t>C2 — Affichage d’un statut système agrégé (santé LLM, compteurs métier).</w:t>
      </w:r>
    </w:p>
    <w:p>
      <w:pPr>
        <w:pStyle w:val="Heading1"/>
      </w:pPr>
      <w:r>
        <w:t>6. Exigences non fonctionnelles</w:t>
      </w:r>
    </w:p>
    <w:p>
      <w:pPr>
        <w:pStyle w:val="Heading2"/>
      </w:pPr>
      <w:r>
        <w:t>6.1 Performance et scalabilité</w:t>
      </w:r>
    </w:p>
    <w:p>
      <w:r>
        <w:t>Le backend doit supporter une montée en charge modérée via réplication stateless derrière un reverse proxy et une base partagée. Les appels LLM restent le goulet ; files d’attente (Redis, SQS) pourront être introduites en V2.</w:t>
      </w:r>
    </w:p>
    <w:p>
      <w:pPr>
        <w:pStyle w:val="Heading2"/>
      </w:pPr>
      <w:r>
        <w:t>6.2 Fiabilité</w:t>
      </w:r>
    </w:p>
    <w:p>
      <w:r>
        <w:t>Journalisation des erreurs avec corrélation ; retries bornés sur appels LLM ; sauvegardes quotidiennes de la base et des pièces jointes si stockage objet adopté.</w:t>
      </w:r>
    </w:p>
    <w:p>
      <w:pPr>
        <w:pStyle w:val="Heading2"/>
      </w:pPr>
      <w:r>
        <w:t>6.3 Sécurité</w:t>
      </w:r>
    </w:p>
    <w:p>
      <w:r>
        <w:t>OWASP ASVS niveau cible à préciser ; durcissement des en-têtes ; politique CORS restreinte ; gestion des secrets externalisée ; principe du moindre privilège pour comptes de service.</w:t>
      </w:r>
    </w:p>
    <w:p>
      <w:pPr>
        <w:pStyle w:val="Heading2"/>
      </w:pPr>
      <w:r>
        <w:t>6.4 Exploitabilité</w:t>
      </w:r>
    </w:p>
    <w:p>
      <w:r>
        <w:t>Runbooks : démarrage, rotation des clés, restauration, mise à jour des images Docker ; supervision des jobs Playwright.</w:t>
      </w:r>
    </w:p>
    <w:p>
      <w:pPr>
        <w:pStyle w:val="Heading1"/>
      </w:pPr>
      <w:r>
        <w:t>7. Contraintes techniques</w:t>
      </w:r>
    </w:p>
    <w:p>
      <w:pPr>
        <w:pStyle w:val="ListBullet"/>
      </w:pPr>
      <w:r>
        <w:t>Navigateurs supportés : derniers Chrome/Edge/Firefox (support client).</w:t>
      </w:r>
    </w:p>
    <w:p>
      <w:pPr>
        <w:pStyle w:val="ListBullet"/>
      </w:pPr>
      <w:r>
        <w:t>Python 3.11+ ; Node LTS aligné sur Next.js du dépôt.</w:t>
      </w:r>
    </w:p>
    <w:p>
      <w:pPr>
        <w:pStyle w:val="ListBullet"/>
      </w:pPr>
      <w:r>
        <w:t>Compatibilité Docker pour déploiement conteneurisé.</w:t>
      </w:r>
    </w:p>
    <w:p>
      <w:pPr>
        <w:pStyle w:val="ListBullet"/>
      </w:pPr>
      <w:r>
        <w:t>Pas de dépendance à un fournisseur LLM unique (abstraction LiteLLM).</w:t>
      </w:r>
    </w:p>
    <w:p>
      <w:pPr>
        <w:pStyle w:val="Heading1"/>
      </w:pPr>
      <w:r>
        <w:t>8. Livrables attendus (liés au DAT)</w:t>
      </w:r>
    </w:p>
    <w:p>
      <w:pPr>
        <w:pStyle w:val="ListBullet"/>
      </w:pPr>
      <w:r>
        <w:t>DAT complet : architecture, diagrammes UML (composants, déploiement, séquence, classes), sécurité, tests, infra.</w:t>
      </w:r>
    </w:p>
    <w:p>
      <w:pPr>
        <w:pStyle w:val="ListBullet"/>
      </w:pPr>
      <w:r>
        <w:t>Schémas d’infrastructure et plans de reprise.</w:t>
      </w:r>
    </w:p>
    <w:p>
      <w:pPr>
        <w:pStyle w:val="ListBullet"/>
      </w:pPr>
      <w:r>
        <w:t>Catalogue de risques et mesures de traitement.</w:t>
      </w:r>
    </w:p>
    <w:p>
      <w:pPr>
        <w:pStyle w:val="ListBullet"/>
      </w:pPr>
      <w:r>
        <w:t>Jeux d’essai et critères d’acceptation par fonctionnalité majeure.</w:t>
      </w:r>
    </w:p>
    <w:p>
      <w:pPr>
        <w:pStyle w:val="Heading1"/>
      </w:pPr>
      <w:r>
        <w:t>9. Critères d’acceptation globaux</w:t>
      </w:r>
    </w:p>
    <w:p>
      <w:pPr>
        <w:pStyle w:val="ListBullet"/>
      </w:pPr>
      <w:r>
        <w:t>Jeu de tests automatiques vert en CI pour les modules critiques.</w:t>
      </w:r>
    </w:p>
    <w:p>
      <w:pPr>
        <w:pStyle w:val="ListBullet"/>
      </w:pPr>
      <w:r>
        <w:t>Revue d’architecture validée (PR + checklist sécurité).</w:t>
      </w:r>
    </w:p>
    <w:p>
      <w:pPr>
        <w:pStyle w:val="ListBullet"/>
      </w:pPr>
      <w:r>
        <w:t>Documentation opérationnelle à jour (checksum image, variables d’environnement).</w:t>
      </w:r>
    </w:p>
    <w:p>
      <w:pPr>
        <w:pStyle w:val="Heading1"/>
      </w:pPr>
      <w:r>
        <w:t>10. Glossaire (extrait)</w:t>
      </w:r>
    </w:p>
    <w:p>
      <w:pPr>
        <w:pStyle w:val="ListBullet"/>
      </w:pPr>
      <w:r>
        <w:t>ATS : Applicant Tracking System.</w:t>
      </w:r>
    </w:p>
    <w:p>
      <w:pPr>
        <w:pStyle w:val="ListBullet"/>
      </w:pPr>
      <w:r>
        <w:t>LLM : grand modèle de langage.</w:t>
      </w:r>
    </w:p>
    <w:p>
      <w:pPr>
        <w:pStyle w:val="ListBullet"/>
      </w:pPr>
      <w:r>
        <w:t>DPIA : analyse d’impact relative à la protection des données.</w:t>
      </w:r>
    </w:p>
    <w:p>
      <w:pPr>
        <w:pStyle w:val="ListBullet"/>
      </w:pPr>
      <w:r>
        <w:t>DAT : dossier d’architecture technique.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