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REX — Retour d’expérience</w:t>
        <w:br/>
      </w:r>
      <w:r>
        <w:t>Projet : Resume Matcher (fork personnel / adaptation open source)</w:t>
      </w:r>
    </w:p>
    <w:p>
      <w:r>
        <w:t>Rédigé par : François</w:t>
      </w:r>
    </w:p>
    <w:p>
      <w:r>
        <w:t>Version : 1.0 — Document de synthèse</w:t>
      </w:r>
    </w:p>
    <w:p>
      <w:r>
        <w:t>Objet : capitaliser sur la mise en œuvre, les écarts prototype/production et les priorités correctives.</w:t>
      </w:r>
    </w:p>
    <w:p/>
    <w:p>
      <w:pPr>
        <w:pStyle w:val="Heading1"/>
      </w:pPr>
      <w:r>
        <w:t>1. Contexte et périmètre</w:t>
      </w:r>
    </w:p>
    <w:p>
      <w:r>
        <w:t>Le projet repose sur une application web composée d’un frontend Next.js et d’un backend FastAPI, avec persistance locale via TinyDB et des appels sortants vers des fournisseurs LLM (OpenAI, Anthropic, Gemini, OpenRouter, Ollama, etc.) via LiteLLM. Le périmètre du REX couvre l’architecture actuelle telle que documentée dans le dépôt, l’usage Docker, et les pratiques de sécurité observées ou à renforcer.</w:t>
      </w:r>
    </w:p>
    <w:p>
      <w:r>
        <w:t>Le dépôt d’origine (open source) a été enrichi d’adaptations locales ; des éléments peuvent manquer entre la branche « originale » et les sauvegardes — ce REX intègre donc des recommandations de meilleures pratiques à traiter en itérations ultérieures.</w:t>
      </w:r>
    </w:p>
    <w:p>
      <w:pPr>
        <w:pStyle w:val="Heading1"/>
      </w:pPr>
      <w:r>
        <w:t>2. Objectifs atteints</w:t>
      </w:r>
    </w:p>
    <w:p>
      <w:r>
        <w:t>Mise en place d’un parcours utilisateur bout-en-bout : import CV (PDF/DOCX), saisie d’offre, amélioration assistée par IA, lettre de motivation, export PDF via Playwright, interface multilingue.</w:t>
      </w:r>
    </w:p>
    <w:p>
      <w:r>
        <w:t>Modularité côté backend (routeurs, services parser/improver/cover letter) et côté frontend (composants builder, prévisualisation paginée, routes d’impression dédiées).</w:t>
      </w:r>
    </w:p>
    <w:p>
      <w:pPr>
        <w:pStyle w:val="Heading1"/>
      </w:pPr>
      <w:r>
        <w:t>3. Points positifs</w:t>
      </w:r>
    </w:p>
    <w:p>
      <w:pPr>
        <w:pStyle w:val="ListBullet"/>
      </w:pPr>
      <w:r>
        <w:t>Stack moderne et documentée en interne (dossiers docs/agent/*).</w:t>
      </w:r>
    </w:p>
    <w:p>
      <w:pPr>
        <w:pStyle w:val="ListBullet"/>
      </w:pPr>
      <w:r>
        <w:t>Abstraction LLM via LiteLLM : réduction du couplage fournisseur.</w:t>
      </w:r>
    </w:p>
    <w:p>
      <w:pPr>
        <w:pStyle w:val="ListBullet"/>
      </w:pPr>
      <w:r>
        <w:t>Séparation claire API / UI et schémas Pydantic côté serveur.</w:t>
      </w:r>
    </w:p>
    <w:p>
      <w:pPr>
        <w:pStyle w:val="ListBullet"/>
      </w:pPr>
      <w:r>
        <w:t>Conteneurisation simple (docker-compose) pour déploiement local ou périmètre restreint.</w:t>
      </w:r>
    </w:p>
    <w:p>
      <w:pPr>
        <w:pStyle w:val="Heading1"/>
      </w:pPr>
      <w:r>
        <w:t>4. Difficultés et risques identifiés</w:t>
      </w:r>
    </w:p>
    <w:p>
      <w:r>
        <w:t>Persistance TinyDB : adaptée au prototype ; limitations en concurrence, sauvegarde, haute disponibilité et audit. Migration vers un SGBDR (PostgreSQL) recommandée pour un contexte multi-utilisateurs.</w:t>
      </w:r>
    </w:p>
    <w:p>
      <w:r>
        <w:t>Secrets : clés API via variables d’environnement et UI ; secrets Docker commentés dans compose — à activer en production et à centraliser (Vault, AWS Secrets Manager, Azure Key Vault, etc.).</w:t>
      </w:r>
    </w:p>
    <w:p>
      <w:r>
        <w:t>Dépendance aux LLM : latence, quotas, conformité des données envoyées (PII / RGPD), besoin de journalisation structurée et de masquage des données sensibles dans les traces.</w:t>
      </w:r>
    </w:p>
    <w:p>
      <w:r>
        <w:t>PDF / impression : dépendance à Chromium (Playwright) — image plus lourde, surface d’attaque ; timeouts et files d’attente de rendu à prévoir.</w:t>
      </w:r>
    </w:p>
    <w:p>
      <w:pPr>
        <w:pStyle w:val="Heading1"/>
      </w:pPr>
      <w:r>
        <w:t>5. Enseignements techniques</w:t>
      </w:r>
    </w:p>
    <w:p>
      <w:r>
        <w:t>Les endpoints doivent être protégés hors poste isolé (authentification, limitation de débit, en-têtes OWASP). Le principe « détail serveur / message générique client » doit être complété par des identifiants de corrélation pour le support.</w:t>
      </w:r>
    </w:p>
    <w:p>
      <w:r>
        <w:t>Le cache de statut côté client (rafraîchissement espacé) est pragmatique mais peut masquer des dégradations : exposer des health checks exploitables par la supervision infra.</w:t>
      </w:r>
    </w:p>
    <w:p>
      <w:pPr>
        <w:pStyle w:val="Heading1"/>
      </w:pPr>
      <w:r>
        <w:t>6. Recommandations prioritaires (backlog)</w:t>
      </w:r>
    </w:p>
    <w:p>
      <w:pPr>
        <w:pStyle w:val="ListBullet"/>
      </w:pPr>
      <w:r>
        <w:t>Modèle de données relationnel + migrations (Alembic) ; sauvegardes automatisées et tests de restauration.</w:t>
      </w:r>
    </w:p>
    <w:p>
      <w:pPr>
        <w:pStyle w:val="ListBullet"/>
      </w:pPr>
      <w:r>
        <w:t>Authentification forte (OIDC / sessions sécurisées) ; cloisonnement multi-tenant si besoin.</w:t>
      </w:r>
    </w:p>
    <w:p>
      <w:pPr>
        <w:pStyle w:val="ListBullet"/>
      </w:pPr>
      <w:r>
        <w:t>CI : tests, analyse de dépendances, SAST, revue de secrets.</w:t>
      </w:r>
    </w:p>
    <w:p>
      <w:pPr>
        <w:pStyle w:val="ListBullet"/>
      </w:pPr>
      <w:r>
        <w:t>Observabilité : métriques, traces distribuées, corrélation logs/requêtes.</w:t>
      </w:r>
    </w:p>
    <w:p>
      <w:pPr>
        <w:pStyle w:val="ListBullet"/>
      </w:pPr>
      <w:r>
        <w:t>Politique de rétention des CV et base légale / consentement explicite.</w:t>
      </w:r>
    </w:p>
    <w:p>
      <w:pPr>
        <w:pStyle w:val="ListBullet"/>
      </w:pPr>
      <w:r>
        <w:t>PRA / PCA documentés pour données, secrets et fournisseurs LLM.</w:t>
      </w:r>
    </w:p>
    <w:p>
      <w:pPr>
        <w:pStyle w:val="Heading1"/>
      </w:pPr>
      <w:r>
        <w:t>7. Synthèse — François</w:t>
      </w:r>
    </w:p>
    <w:p>
      <w:r>
        <w:t>François : la vélocité fonctionnelle est satisfaisante ; l’industrialisation repose sur la persistance, la sécurité des accès, la conformité données et l’exploitabilité. Les livrables CDC et DAT encadrent ces travaux et servent de référence pour les itérations à venir.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