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sử dụng tài nguyên CNTT chấp nhận được</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CISO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sử dụng tài nguyên CNTT chấp nhận được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Acceptable_Use_Policy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Acceptable_Use_Policy Privileged_Rotation</w:t>
      </w:r>
    </w:p>
    <w:p>
      <w:r>
        <w:t>Quy định trọng yếu: Tài khoản quản trị đặc quyền phải rà soát hàng tháng và xoay vòng bí mật sau tối đa 90 ngày.</w:t>
      </w:r>
    </w:p>
    <w:p>
      <w:r>
        <w:t>Đối với chủ đề quy trình phê duyệt,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Acceptable_Use_Policy Vpn</w:t>
      </w:r>
    </w:p>
    <w:p>
      <w:r>
        <w:t>Quy định trọng yếu: Truy cập hệ thống nội bộ từ ngoài văn phòng bắt buộc dùng VPN công ty và thiết bị đã đăng ký MDM.</w:t>
      </w:r>
    </w:p>
    <w:p>
      <w:r>
        <w:t>Đối với chủ đề bằng chứng kiểm soát,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Acceptable_Use_Policy Screen_Lock</w:t>
      </w:r>
    </w:p>
    <w:p>
      <w:r>
        <w:t>Quy định trọng yếu: Thiết bị xử lý dữ liệu mật phải khóa màn hình sau 5 phút không hoạt động.</w:t>
      </w:r>
    </w:p>
    <w:p>
      <w:r>
        <w:t>Đối với chủ đề ngoại lệ,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Acceptable_Use_Policy Evidence</w:t>
      </w:r>
    </w:p>
    <w:p>
      <w:r>
        <w:t>Quy định trọng yếu: Bằng chứng phê duyệt, workflow, chữ ký điện tử và email chính thức lưu tối thiểu 7 năm.</w:t>
      </w:r>
    </w:p>
    <w:p>
      <w:r>
        <w:t>Đối với chủ đề báo cáo định kỳ,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Acceptable_Use_Policy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tài nguyên CNTT chấp nhận được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tài nguyên CNTT chấp nhận được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tài nguyên CNTT chấp nhận được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tài nguyên CNTT chấp nhận được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tài nguyên CNTT chấp nhận được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tài nguyên CNTT chấp nhận được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CISO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CISO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APD-IT-023,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