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phân tích dữ liệu và BI</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APD-DATA-048</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Văn phòng Dữ liệu</w:t>
            </w:r>
          </w:p>
        </w:tc>
      </w:tr>
      <w:tr>
        <w:tc>
          <w:tcPr>
            <w:tcW w:type="dxa" w:w="4320"/>
          </w:tcPr>
          <w:p>
            <w:r>
              <w:t>Người phê duyệt</w:t>
            </w:r>
          </w:p>
        </w:tc>
        <w:tc>
          <w:tcPr>
            <w:tcW w:type="dxa" w:w="4320"/>
          </w:tcPr>
          <w:p>
            <w:r>
              <w:t>Privacy Officer</w:t>
            </w:r>
          </w:p>
        </w:tc>
      </w:tr>
      <w:tr>
        <w:tc>
          <w:tcPr>
            <w:tcW w:type="dxa" w:w="4320"/>
          </w:tcPr>
          <w:p>
            <w:r>
              <w:t>Miền chính sách</w:t>
            </w:r>
          </w:p>
        </w:tc>
        <w:tc>
          <w:tcPr>
            <w:tcW w:type="dxa" w:w="4320"/>
          </w:tcPr>
          <w:p>
            <w:r>
              <w:t>privacy</w:t>
            </w:r>
          </w:p>
        </w:tc>
      </w:tr>
      <w:tr>
        <w:tc>
          <w:tcPr>
            <w:tcW w:type="dxa" w:w="4320"/>
          </w:tcPr>
          <w:p>
            <w:r>
              <w:t>Tài liệu liên quan</w:t>
            </w:r>
          </w:p>
        </w:tc>
        <w:tc>
          <w:tcPr>
            <w:tcW w:type="dxa" w:w="4320"/>
          </w:tcPr>
          <w:p>
            <w:r>
              <w:t>data_privacy_policy.md, it_security_policy.md, records_retention_policy.md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phân tích dữ liệu và BI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privacy</w:t>
            </w:r>
          </w:p>
        </w:tc>
        <w:tc>
          <w:tcPr>
            <w:tcW w:type="dxa" w:w="2880"/>
          </w:tcPr>
          <w:p>
            <w:r>
              <w:t>dsar</w:t>
            </w:r>
          </w:p>
        </w:tc>
        <w:tc>
          <w:tcPr>
            <w:tcW w:type="dxa" w:w="2880"/>
          </w:tcPr>
          <w:p>
            <w:r>
              <w:t>Yêu cầu truy cập hoặc chỉnh sửa dữ liệu cá nhân phải phản hồi trong 15 ngày làm việc.</w:t>
            </w:r>
          </w:p>
        </w:tc>
      </w:tr>
      <w:tr>
        <w:tc>
          <w:tcPr>
            <w:tcW w:type="dxa" w:w="2880"/>
          </w:tcPr>
          <w:p>
            <w:r>
              <w:t>privacy</w:t>
            </w:r>
          </w:p>
        </w:tc>
        <w:tc>
          <w:tcPr>
            <w:tcW w:type="dxa" w:w="2880"/>
          </w:tcPr>
          <w:p>
            <w:r>
              <w:t>dpia</w:t>
            </w:r>
          </w:p>
        </w:tc>
        <w:tc>
          <w:tcPr>
            <w:tcW w:type="dxa" w:w="2880"/>
          </w:tcPr>
          <w:p>
            <w:r>
              <w:t>Dự án xử lý dữ liệu cá nhân nhạy cảm phải hoàn tất DPIA trước production.</w:t>
            </w:r>
          </w:p>
        </w:tc>
      </w:tr>
      <w:tr>
        <w:tc>
          <w:tcPr>
            <w:tcW w:type="dxa" w:w="2880"/>
          </w:tcPr>
          <w:p>
            <w:r>
              <w:t>privacy</w:t>
            </w:r>
          </w:p>
        </w:tc>
        <w:tc>
          <w:tcPr>
            <w:tcW w:type="dxa" w:w="2880"/>
          </w:tcPr>
          <w:p>
            <w:r>
              <w:t>customer_retention</w:t>
            </w:r>
          </w:p>
        </w:tc>
        <w:tc>
          <w:tcPr>
            <w:tcW w:type="dxa" w:w="2880"/>
          </w:tcPr>
          <w:p>
            <w:r>
              <w:t>Dữ liệu khách hàng không còn hoạt động lưu tối đa 5 năm sau giao dịch cuối cùng, trừ nghĩa vụ pháp lý dài hơn.</w:t>
            </w:r>
          </w:p>
        </w:tc>
      </w:tr>
      <w:tr>
        <w:tc>
          <w:tcPr>
            <w:tcW w:type="dxa" w:w="2880"/>
          </w:tcPr>
          <w:p>
            <w:r>
              <w:t>privacy</w:t>
            </w:r>
          </w:p>
        </w:tc>
        <w:tc>
          <w:tcPr>
            <w:tcW w:type="dxa" w:w="2880"/>
          </w:tcPr>
          <w:p>
            <w:r>
              <w:t>breach_notice</w:t>
            </w:r>
          </w:p>
        </w:tc>
        <w:tc>
          <w:tcPr>
            <w:tcW w:type="dxa" w:w="2880"/>
          </w:tcPr>
          <w:p>
            <w:r>
              <w:t>Sự cố lộ dữ liệu cá nhân mức cao phải báo cáo Ban Điều hành trong vòng 24 giờ kể từ khi xác nhận.</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Analytics_Bi_Policy Dsar</w:t>
      </w:r>
    </w:p>
    <w:p>
      <w:r>
        <w:t>Quy định trọng yếu: Yêu cầu truy cập hoặc chỉnh sửa dữ liệu cá nhân phải phản hồi trong 15 ngày làm việc.</w:t>
      </w:r>
    </w:p>
    <w:p>
      <w:r>
        <w:t>Đối với chủ đề vai trò chịu trách nhiệm,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Analytics_Bi_Policy Dpia</w:t>
      </w:r>
    </w:p>
    <w:p>
      <w:r>
        <w:t>Quy định trọng yếu: Dự án xử lý dữ liệu cá nhân nhạy cảm phải hoàn tất DPIA trước production.</w:t>
      </w:r>
    </w:p>
    <w:p>
      <w:r>
        <w:t>Đối với chủ đề quy trình phê duyệt,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Analytics_Bi_Policy Customer_Retention</w:t>
      </w:r>
    </w:p>
    <w:p>
      <w:r>
        <w:t>Quy định trọng yếu: Dữ liệu khách hàng không còn hoạt động lưu tối đa 5 năm sau giao dịch cuối cùng, trừ nghĩa vụ pháp lý dài hơn.</w:t>
      </w:r>
    </w:p>
    <w:p>
      <w:r>
        <w:t>Đối với chủ đề bằng chứng kiểm soát,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Analytics_Bi_Policy Breach_Notice</w:t>
      </w:r>
    </w:p>
    <w:p>
      <w:r>
        <w:t>Quy định trọng yếu: Sự cố lộ dữ liệu cá nhân mức cao phải báo cáo Ban Điều hành trong vòng 24 giờ kể từ khi xác nhận.</w:t>
      </w:r>
    </w:p>
    <w:p>
      <w:r>
        <w:t>Đối với chủ đề ngoại lệ,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Analytics_Bi_Policy Evidence</w:t>
      </w:r>
    </w:p>
    <w:p>
      <w:r>
        <w:t>Quy định trọng yếu: Bằng chứng phê duyệt, workflow, chữ ký điện tử và email chính thức lưu tối thiểu 7 năm.</w:t>
      </w:r>
    </w:p>
    <w:p>
      <w:r>
        <w:t>Đối với chủ đề báo cáo định kỳ,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Analytics_Bi_Policy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tích dữ liệu và BI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tích dữ liệu và BI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tích dữ liệu và BI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tích dữ liệu và BI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tích dữ liệu và BI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tích dữ liệu và BI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Văn phòng Dữ liệu</w:t>
            </w:r>
          </w:p>
        </w:tc>
        <w:tc>
          <w:tcPr>
            <w:tcW w:type="dxa" w:w="1728"/>
          </w:tcPr>
          <w:p>
            <w:r>
              <w:t>Privacy Officer</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Privacy Officer</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Văn phòng Dữ liệu</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Văn phòng Dữ liệu</w:t>
            </w:r>
          </w:p>
        </w:tc>
        <w:tc>
          <w:tcPr>
            <w:tcW w:type="dxa" w:w="1728"/>
          </w:tcPr>
          <w:p>
            <w:r>
              <w:t>Văn phòng Dữ liệu</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records_retention_policy.md.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data_privacy_policy.md.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APD-DATA-048,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