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chống hối lộ và chống tham nhũng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APD-LEGAL-039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chống hối lộ và chống tham nhũng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Anti_Bribery_Corruption_Policy Approval_Evidence</w:t>
      </w:r>
    </w:p>
    <w:p>
      <w:r>
        <w:t>Quy định trọng yếu: Bằng chứng phê duyệt, workflow, chữ ký điện tử và email chính thức lưu tối thiểu 7 năm.</w:t>
      </w:r>
    </w:p>
    <w:p>
      <w:r>
        <w:t>Đối với chủ đề vai trò chịu trách nhiệm,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Anti_Bribery_Corruption_Policy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Anti_Bribery_Corruption_Policy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Anti_Bribery_Corruption_Policy Evidence</w:t>
      </w:r>
    </w:p>
    <w:p>
      <w:r>
        <w:t>Quy định trọng yếu: Bằng chứng phê duyệt, workflow, chữ ký điện tử và email chính thức lưu tối thiểu 7 năm.</w:t>
      </w:r>
    </w:p>
    <w:p>
      <w:r>
        <w:t>Đối với chủ đề ngoại lệ,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Anti_Bribery_Corruption_Policy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chống hối lộ và chống tham nhũng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chống hối lộ và chống tham nhũng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chống hối lộ và chống tham nhũng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chống hối lộ và chống tham nhũng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chống hối lộ và chống tham nhũng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chống hối lộ và chống tham nhũng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