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 truyền thông khủng hoảng</w:t>
      </w:r>
    </w:p>
    <w:p>
      <w:pPr>
        <w:pStyle w:val="Heading2"/>
      </w:pPr>
      <w:r>
        <w:t>Metadata</w:t>
      </w:r>
    </w:p>
    <w:tbl>
      <w:tblPr>
        <w:tblStyle w:val="TableGrid"/>
        <w:tblW w:type="auto" w:w="0"/>
        <w:tblLook w:firstColumn="1" w:firstRow="1" w:lastColumn="0" w:lastRow="0" w:noHBand="0" w:noVBand="1" w:val="04A0"/>
      </w:tblPr>
      <w:tblGrid>
        <w:gridCol w:w="4320"/>
        <w:gridCol w:w="4320"/>
      </w:tblGrid>
      <w:tr>
        <w:tc>
          <w:tcPr>
            <w:tcW w:type="dxa" w:w="4320"/>
          </w:tcPr>
          <w:p>
            <w:r>
              <w:t>Trường</w:t>
            </w:r>
          </w:p>
        </w:tc>
        <w:tc>
          <w:tcPr>
            <w:tcW w:type="dxa" w:w="4320"/>
          </w:tcPr>
          <w:p>
            <w:r>
              <w:t>Giá trị</w:t>
            </w:r>
          </w:p>
        </w:tc>
      </w:tr>
      <w:tr>
        <w:tc>
          <w:tcPr>
            <w:tcW w:type="dxa" w:w="4320"/>
          </w:tcPr>
          <w:p>
            <w:r>
              <w:t>Mã tài liệu</w:t>
            </w:r>
          </w:p>
        </w:tc>
        <w:tc>
          <w:tcPr>
            <w:tcW w:type="dxa" w:w="4320"/>
          </w:tcPr>
          <w:p>
            <w:r>
              <w:t>APD-COM-042</w:t>
            </w:r>
          </w:p>
        </w:tc>
      </w:tr>
      <w:tr>
        <w:tc>
          <w:tcPr>
            <w:tcW w:type="dxa" w:w="4320"/>
          </w:tcPr>
          <w:p>
            <w:r>
              <w:t>Tên công ty</w:t>
            </w:r>
          </w:p>
        </w:tc>
        <w:tc>
          <w:tcPr>
            <w:tcW w:type="dxa" w:w="4320"/>
          </w:tcPr>
          <w:p>
            <w:r>
              <w:t>Công ty TNHH An Phát Digital</w:t>
            </w:r>
          </w:p>
        </w:tc>
      </w:tr>
      <w:tr>
        <w:tc>
          <w:tcPr>
            <w:tcW w:type="dxa" w:w="4320"/>
          </w:tcPr>
          <w:p>
            <w:r>
              <w:t>Phiên bản</w:t>
            </w:r>
          </w:p>
        </w:tc>
        <w:tc>
          <w:tcPr>
            <w:tcW w:type="dxa" w:w="4320"/>
          </w:tcPr>
          <w:p>
            <w:r>
              <w:t>1.0</w:t>
            </w:r>
          </w:p>
        </w:tc>
      </w:tr>
      <w:tr>
        <w:tc>
          <w:tcPr>
            <w:tcW w:type="dxa" w:w="4320"/>
          </w:tcPr>
          <w:p>
            <w:r>
              <w:t>Ngày hiệu lực</w:t>
            </w:r>
          </w:p>
        </w:tc>
        <w:tc>
          <w:tcPr>
            <w:tcW w:type="dxa" w:w="4320"/>
          </w:tcPr>
          <w:p>
            <w:r>
              <w:t>2026-05-27</w:t>
            </w:r>
          </w:p>
        </w:tc>
      </w:tr>
      <w:tr>
        <w:tc>
          <w:tcPr>
            <w:tcW w:type="dxa" w:w="4320"/>
          </w:tcPr>
          <w:p>
            <w:r>
              <w:t>Ngày rà soát kế tiếp</w:t>
            </w:r>
          </w:p>
        </w:tc>
        <w:tc>
          <w:tcPr>
            <w:tcW w:type="dxa" w:w="4320"/>
          </w:tcPr>
          <w:p>
            <w:r>
              <w:t>2027-05-27</w:t>
            </w:r>
          </w:p>
        </w:tc>
      </w:tr>
      <w:tr>
        <w:tc>
          <w:tcPr>
            <w:tcW w:type="dxa" w:w="4320"/>
          </w:tcPr>
          <w:p>
            <w:r>
              <w:t>Chủ sở hữu</w:t>
            </w:r>
          </w:p>
        </w:tc>
        <w:tc>
          <w:tcPr>
            <w:tcW w:type="dxa" w:w="4320"/>
          </w:tcPr>
          <w:p>
            <w:r>
              <w:t>Phòng Truyền thông</w:t>
            </w:r>
          </w:p>
        </w:tc>
      </w:tr>
      <w:tr>
        <w:tc>
          <w:tcPr>
            <w:tcW w:type="dxa" w:w="4320"/>
          </w:tcPr>
          <w:p>
            <w:r>
              <w:t>Người phê duyệt</w:t>
            </w:r>
          </w:p>
        </w:tc>
        <w:tc>
          <w:tcPr>
            <w:tcW w:type="dxa" w:w="4320"/>
          </w:tcPr>
          <w:p>
            <w:r>
              <w:t>COO</w:t>
            </w:r>
          </w:p>
        </w:tc>
      </w:tr>
      <w:tr>
        <w:tc>
          <w:tcPr>
            <w:tcW w:type="dxa" w:w="4320"/>
          </w:tcPr>
          <w:p>
            <w:r>
              <w:t>Miền chính sách</w:t>
            </w:r>
          </w:p>
        </w:tc>
        <w:tc>
          <w:tcPr>
            <w:tcW w:type="dxa" w:w="4320"/>
          </w:tcPr>
          <w:p>
            <w:r>
              <w:t>operations</w:t>
            </w:r>
          </w:p>
        </w:tc>
      </w:tr>
      <w:tr>
        <w:tc>
          <w:tcPr>
            <w:tcW w:type="dxa" w:w="4320"/>
          </w:tcPr>
          <w:p>
            <w:r>
              <w:t>Tài liệu liên quan</w:t>
            </w:r>
          </w:p>
        </w:tc>
        <w:tc>
          <w:tcPr>
            <w:tcW w:type="dxa" w:w="4320"/>
          </w:tcPr>
          <w:p>
            <w:r>
              <w:t>incident_response_playbook.md, business_continuity_policy.md, it_security_policy.md</w:t>
            </w:r>
          </w:p>
        </w:tc>
      </w:tr>
      <w:tr>
        <w:tc>
          <w:tcPr>
            <w:tcW w:type="dxa" w:w="4320"/>
          </w:tcPr>
          <w:p>
            <w:r>
              <w:t>Trạng thái</w:t>
            </w:r>
          </w:p>
        </w:tc>
        <w:tc>
          <w:tcPr>
            <w:tcW w:type="dxa" w:w="4320"/>
          </w:tcPr>
          <w:p>
            <w:r>
              <w:t>Đang hiệu lực</w:t>
            </w:r>
          </w:p>
        </w:tc>
      </w:tr>
    </w:tbl>
    <w:p>
      <w:pPr>
        <w:pStyle w:val="Heading2"/>
      </w:pPr>
      <w:r>
        <w:t>1. Mục tiêu và nguyên tắc thống nhất</w:t>
      </w:r>
    </w:p>
    <w:p>
      <w:r>
        <w:t>Chính sách truyền thông khủng hoảng là một phần của bộ quy định công ty cấp doanh nghiệp cho Công ty TNHH An Phát Digital. Tài liệu này không tạo ra hạn mức hoặc thời hạn riêng nếu consistency index đã có quy tắc chuẩn. Mọi đoạn có số ngày, số tiền, vai trò phê duyệt hoặc điều kiện bảo mật phải được hiểu theo bảng quy tắc chuẩn bên dưới.</w:t>
      </w:r>
    </w:p>
    <w:p>
      <w:pPr>
        <w:pStyle w:val="Heading2"/>
      </w:pPr>
      <w:r>
        <w:t>2. Quy tắc chuẩn được kế thừa</w:t>
      </w:r>
    </w:p>
    <w:tbl>
      <w:tblPr>
        <w:tblStyle w:val="TableGrid"/>
        <w:tblW w:type="auto" w:w="0"/>
        <w:tblLook w:firstColumn="1" w:firstRow="1" w:lastColumn="0" w:lastRow="0" w:noHBand="0" w:noVBand="1" w:val="04A0"/>
      </w:tblPr>
      <w:tblGrid>
        <w:gridCol w:w="2880"/>
        <w:gridCol w:w="2880"/>
        <w:gridCol w:w="2880"/>
      </w:tblGrid>
      <w:tr>
        <w:tc>
          <w:tcPr>
            <w:tcW w:type="dxa" w:w="2880"/>
          </w:tcPr>
          <w:p>
            <w:r>
              <w:t>Nhóm quy tắc</w:t>
            </w:r>
          </w:p>
        </w:tc>
        <w:tc>
          <w:tcPr>
            <w:tcW w:type="dxa" w:w="2880"/>
          </w:tcPr>
          <w:p>
            <w:r>
              <w:t>Mã</w:t>
            </w:r>
          </w:p>
        </w:tc>
        <w:tc>
          <w:tcPr>
            <w:tcW w:type="dxa" w:w="2880"/>
          </w:tcPr>
          <w:p>
            <w:r>
              <w:t>Quy định chuẩn không được diễn giải khác</w:t>
            </w:r>
          </w:p>
        </w:tc>
      </w:tr>
      <w:tr>
        <w:tc>
          <w:tcPr>
            <w:tcW w:type="dxa" w:w="2880"/>
          </w:tcPr>
          <w:p>
            <w:r>
              <w:t>approval_matrix</w:t>
            </w:r>
          </w:p>
        </w:tc>
        <w:tc>
          <w:tcPr>
            <w:tcW w:type="dxa" w:w="2880"/>
          </w:tcPr>
          <w:p>
            <w:r>
              <w:t>procurement_standard</w:t>
            </w:r>
          </w:p>
        </w:tc>
        <w:tc>
          <w:tcPr>
            <w:tcW w:type="dxa" w:w="2880"/>
          </w:tcPr>
          <w:p>
            <w:r>
              <w:t>&lt; 50.000.000 VND: Trưởng phòng phê duyệt, Tài chính tham vấn, SLA 2 ngày làm việc.</w:t>
            </w:r>
          </w:p>
        </w:tc>
      </w:tr>
      <w:tr>
        <w:tc>
          <w:tcPr>
            <w:tcW w:type="dxa" w:w="2880"/>
          </w:tcPr>
          <w:p>
            <w:r>
              <w:t>approval_matrix</w:t>
            </w:r>
          </w:p>
        </w:tc>
        <w:tc>
          <w:tcPr>
            <w:tcW w:type="dxa" w:w="2880"/>
          </w:tcPr>
          <w:p>
            <w:r>
              <w:t>procurement_quotes</w:t>
            </w:r>
          </w:p>
        </w:tc>
        <w:tc>
          <w:tcPr>
            <w:tcW w:type="dxa" w:w="2880"/>
          </w:tcPr>
          <w:p>
            <w:r>
              <w:t>50.000.000-499.999.999 VND: Giám đốc Khối phê duyệt, Procurement tham vấn, SLA 3 ngày làm việc.</w:t>
            </w:r>
          </w:p>
        </w:tc>
      </w:tr>
      <w:tr>
        <w:tc>
          <w:tcPr>
            <w:tcW w:type="dxa" w:w="2880"/>
          </w:tcPr>
          <w:p>
            <w:r>
              <w:t>approval_matrix</w:t>
            </w:r>
          </w:p>
        </w:tc>
        <w:tc>
          <w:tcPr>
            <w:tcW w:type="dxa" w:w="2880"/>
          </w:tcPr>
          <w:p>
            <w:r>
              <w:t>procurement_large</w:t>
            </w:r>
          </w:p>
        </w:tc>
        <w:tc>
          <w:tcPr>
            <w:tcW w:type="dxa" w:w="2880"/>
          </w:tcPr>
          <w:p>
            <w:r>
              <w:t>500.000.000-1.999.999.999 VND: Giám đốc Khối và CFO phê duyệt, SLA 5 ngày làm việc.</w:t>
            </w:r>
          </w:p>
        </w:tc>
      </w:tr>
      <w:tr>
        <w:tc>
          <w:tcPr>
            <w:tcW w:type="dxa" w:w="2880"/>
          </w:tcPr>
          <w:p>
            <w:r>
              <w:t>approval_matrix</w:t>
            </w:r>
          </w:p>
        </w:tc>
        <w:tc>
          <w:tcPr>
            <w:tcW w:type="dxa" w:w="2880"/>
          </w:tcPr>
          <w:p>
            <w:r>
              <w:t>procurement_strategic</w:t>
            </w:r>
          </w:p>
        </w:tc>
        <w:tc>
          <w:tcPr>
            <w:tcW w:type="dxa" w:w="2880"/>
          </w:tcPr>
          <w:p>
            <w:r>
              <w:t>&gt;= 2.000.000.000 VND: CFO và Tổng Giám đốc phê duyệt, SLA 7 ngày làm việc.</w:t>
            </w:r>
          </w:p>
        </w:tc>
      </w:tr>
      <w:tr>
        <w:tc>
          <w:tcPr>
            <w:tcW w:type="dxa" w:w="2880"/>
          </w:tcPr>
          <w:p>
            <w:r>
              <w:t>approval_matrix</w:t>
            </w:r>
          </w:p>
        </w:tc>
        <w:tc>
          <w:tcPr>
            <w:tcW w:type="dxa" w:w="2880"/>
          </w:tcPr>
          <w:p>
            <w:r>
              <w:t>revenue_contract_large</w:t>
            </w:r>
          </w:p>
        </w:tc>
        <w:tc>
          <w:tcPr>
            <w:tcW w:type="dxa" w:w="2880"/>
          </w:tcPr>
          <w:p>
            <w:r>
              <w:t>&gt; 5.000.000.000 VND: CFO và Tổng Giám đốc phê duyệt, Legal và Security tham vấn.</w:t>
            </w:r>
          </w:p>
        </w:tc>
      </w:tr>
      <w:tr>
        <w:tc>
          <w:tcPr>
            <w:tcW w:type="dxa" w:w="2880"/>
          </w:tcPr>
          <w:p>
            <w:r>
              <w:t>approval_matrix</w:t>
            </w:r>
          </w:p>
        </w:tc>
        <w:tc>
          <w:tcPr>
            <w:tcW w:type="dxa" w:w="2880"/>
          </w:tcPr>
          <w:p>
            <w:r>
              <w:t>security_exception</w:t>
            </w:r>
          </w:p>
        </w:tc>
        <w:tc>
          <w:tcPr>
            <w:tcW w:type="dxa" w:w="2880"/>
          </w:tcPr>
          <w:p>
            <w:r>
              <w:t>Ngoại lệ bảo mật bất kỳ: CISO phê duyệt, Data Owner tham vấn, SLA 3 ngày làm việc.</w:t>
            </w:r>
          </w:p>
        </w:tc>
      </w:tr>
      <w:tr>
        <w:tc>
          <w:tcPr>
            <w:tcW w:type="dxa" w:w="2880"/>
          </w:tcPr>
          <w:p>
            <w:r>
              <w:t>operations</w:t>
            </w:r>
          </w:p>
        </w:tc>
        <w:tc>
          <w:tcPr>
            <w:tcW w:type="dxa" w:w="2880"/>
          </w:tcPr>
          <w:p>
            <w:r>
              <w:t>sev1</w:t>
            </w:r>
          </w:p>
        </w:tc>
        <w:tc>
          <w:tcPr>
            <w:tcW w:type="dxa" w:w="2880"/>
          </w:tcPr>
          <w:p>
            <w:r>
              <w:t>Sự cố SEV-1 phải mở war-room trong vòng 15 phút sau khi phân loại và chỉ định Incident Commander.</w:t>
            </w:r>
          </w:p>
        </w:tc>
      </w:tr>
      <w:tr>
        <w:tc>
          <w:tcPr>
            <w:tcW w:type="dxa" w:w="2880"/>
          </w:tcPr>
          <w:p>
            <w:r>
              <w:t>operations</w:t>
            </w:r>
          </w:p>
        </w:tc>
        <w:tc>
          <w:tcPr>
            <w:tcW w:type="dxa" w:w="2880"/>
          </w:tcPr>
          <w:p>
            <w:r>
              <w:t>sev2</w:t>
            </w:r>
          </w:p>
        </w:tc>
        <w:tc>
          <w:tcPr>
            <w:tcW w:type="dxa" w:w="2880"/>
          </w:tcPr>
          <w:p>
            <w:r>
              <w:t>Sự cố SEV-2 cần cập nhật stakeholder mỗi 60 phút cho đến khi khôi phục dịch vụ.</w:t>
            </w:r>
          </w:p>
        </w:tc>
      </w:tr>
      <w:tr>
        <w:tc>
          <w:tcPr>
            <w:tcW w:type="dxa" w:w="2880"/>
          </w:tcPr>
          <w:p>
            <w:r>
              <w:t>operations</w:t>
            </w:r>
          </w:p>
        </w:tc>
        <w:tc>
          <w:tcPr>
            <w:tcW w:type="dxa" w:w="2880"/>
          </w:tcPr>
          <w:p>
            <w:r>
              <w:t>postmortem</w:t>
            </w:r>
          </w:p>
        </w:tc>
        <w:tc>
          <w:tcPr>
            <w:tcW w:type="dxa" w:w="2880"/>
          </w:tcPr>
          <w:p>
            <w:r>
              <w:t>Postmortem cho SEV-1 và SEV-2 phải hoàn tất trong 5 ngày làm việc sau khi đóng sự cố.</w:t>
            </w:r>
          </w:p>
        </w:tc>
      </w:tr>
      <w:tr>
        <w:tc>
          <w:tcPr>
            <w:tcW w:type="dxa" w:w="2880"/>
          </w:tcPr>
          <w:p>
            <w:r>
              <w:t>operations</w:t>
            </w:r>
          </w:p>
        </w:tc>
        <w:tc>
          <w:tcPr>
            <w:tcW w:type="dxa" w:w="2880"/>
          </w:tcPr>
          <w:p>
            <w:r>
              <w:t>evidence_freeze</w:t>
            </w:r>
          </w:p>
        </w:tc>
        <w:tc>
          <w:tcPr>
            <w:tcW w:type="dxa" w:w="2880"/>
          </w:tcPr>
          <w:p>
            <w:r>
              <w:t>Bằng chứng log của sự cố bảo mật phải đóng băng trong vòng 2 giờ sau khi xác nhận dấu hiệu xâm nhập.</w:t>
            </w:r>
          </w:p>
        </w:tc>
      </w:tr>
      <w:tr>
        <w:tc>
          <w:tcPr>
            <w:tcW w:type="dxa" w:w="2880"/>
          </w:tcPr>
          <w:p>
            <w:r>
              <w:t>records</w:t>
            </w:r>
          </w:p>
        </w:tc>
        <w:tc>
          <w:tcPr>
            <w:tcW w:type="dxa" w:w="2880"/>
          </w:tcPr>
          <w:p>
            <w:r>
              <w:t>approval_evidence</w:t>
            </w:r>
          </w:p>
        </w:tc>
        <w:tc>
          <w:tcPr>
            <w:tcW w:type="dxa" w:w="2880"/>
          </w:tcPr>
          <w:p>
            <w:r>
              <w:t>Bằng chứng phê duyệt, workflow, chữ ký điện tử và email chính thức lưu tối thiểu 7 năm.</w:t>
            </w:r>
          </w:p>
        </w:tc>
      </w:tr>
      <w:tr>
        <w:tc>
          <w:tcPr>
            <w:tcW w:type="dxa" w:w="2880"/>
          </w:tcPr>
          <w:p>
            <w:r>
              <w:t>records</w:t>
            </w:r>
          </w:p>
        </w:tc>
        <w:tc>
          <w:tcPr>
            <w:tcW w:type="dxa" w:w="2880"/>
          </w:tcPr>
          <w:p>
            <w:r>
              <w:t>hr_records</w:t>
            </w:r>
          </w:p>
        </w:tc>
        <w:tc>
          <w:tcPr>
            <w:tcW w:type="dxa" w:w="2880"/>
          </w:tcPr>
          <w:p>
            <w:r>
              <w:t>Hồ sơ nhân sự điện tử lưu 10 năm sau ngày chấm dứt hợp đồng; hồ sơ kỷ luật nghiêm trọng lưu 15 năm.</w:t>
            </w:r>
          </w:p>
        </w:tc>
      </w:tr>
      <w:tr>
        <w:tc>
          <w:tcPr>
            <w:tcW w:type="dxa" w:w="2880"/>
          </w:tcPr>
          <w:p>
            <w:r>
              <w:t>records</w:t>
            </w:r>
          </w:p>
        </w:tc>
        <w:tc>
          <w:tcPr>
            <w:tcW w:type="dxa" w:w="2880"/>
          </w:tcPr>
          <w:p>
            <w:r>
              <w:t>exception_register</w:t>
            </w:r>
          </w:p>
        </w:tc>
        <w:tc>
          <w:tcPr>
            <w:tcW w:type="dxa" w:w="2880"/>
          </w:tcPr>
          <w:p>
            <w:r>
              <w:t>Ngoại lệ phải có ngày hết hạn, người chịu trách nhiệm, biện pháp giảm thiểu và lưu 3 năm sau ngày đóng.</w:t>
            </w:r>
          </w:p>
        </w:tc>
      </w:tr>
    </w:tbl>
    <w:p>
      <w:pPr>
        <w:pStyle w:val="Heading2"/>
      </w:pPr>
      <w:r>
        <w:t>3. Quy định trọng yếu</w:t>
      </w:r>
    </w:p>
    <w:p/>
    <w:p>
      <w:pPr>
        <w:pStyle w:val="Heading3"/>
      </w:pPr>
      <w:r>
        <w:t>3.1 Crisis_Communications_Policy Sev1</w:t>
      </w:r>
    </w:p>
    <w:p>
      <w:r>
        <w:t>Quy định trọng yếu: Sự cố SEV-1 phải mở war-room trong vòng 15 phút sau khi phân loại và chỉ định Incident Commander.</w:t>
      </w:r>
    </w:p>
    <w:p>
      <w:r>
        <w:t>Đối với chủ đề vai trò chịu trách nhiệm, tài liệu Chính sách truyền thông khủng hoảng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truyền thông khủng hoảng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truyền thông khủng hoảng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truyền thông khủng hoảng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truyền thông khủng hoảng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truyền thông khủng hoảng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truyền thông khủng hoảng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truyền thông khủng hoảng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3.2 Crisis_Communications_Policy Sev2</w:t>
      </w:r>
    </w:p>
    <w:p>
      <w:r>
        <w:t>Quy định trọng yếu: Sự cố SEV-2 cần cập nhật stakeholder mỗi 60 phút cho đến khi khôi phục dịch vụ.</w:t>
      </w:r>
    </w:p>
    <w:p>
      <w:r>
        <w:t>Đối với chủ đề quy trình phê duyệt, tài liệu Chính sách truyền thông khủng hoảng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truyền thông khủng hoảng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truyền thông khủng hoảng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truyền thông khủng hoảng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truyền thông khủng hoảng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truyền thông khủng hoảng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truyền thông khủng hoảng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truyền thông khủng hoảng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3.3 Crisis_Communications_Policy Postmortem</w:t>
      </w:r>
    </w:p>
    <w:p>
      <w:r>
        <w:t>Quy định trọng yếu: Postmortem cho SEV-1 và SEV-2 phải hoàn tất trong 5 ngày làm việc sau khi đóng sự cố.</w:t>
      </w:r>
    </w:p>
    <w:p>
      <w:r>
        <w:t>Đối với chủ đề bằng chứng kiểm soát, tài liệu Chính sách truyền thông khủng hoảng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truyền thông khủng hoảng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truyền thông khủng hoảng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truyền thông khủng hoảng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truyền thông khủng hoảng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truyền thông khủng hoảng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truyền thông khủng hoảng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truyền thông khủng hoảng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3.4 Crisis_Communications_Policy Evidence_Freeze</w:t>
      </w:r>
    </w:p>
    <w:p>
      <w:r>
        <w:t>Quy định trọng yếu: Bằng chứng log của sự cố bảo mật phải đóng băng trong vòng 2 giờ sau khi xác nhận dấu hiệu xâm nhập.</w:t>
      </w:r>
    </w:p>
    <w:p>
      <w:r>
        <w:t>Đối với chủ đề ngoại lệ, tài liệu Chính sách truyền thông khủng hoảng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truyền thông khủng hoảng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truyền thông khủng hoảng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truyền thông khủng hoảng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truyền thông khủng hoảng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truyền thông khủng hoảng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truyền thông khủng hoảng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truyền thông khủng hoảng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3.5 Crisis_Communications_Policy Evidence</w:t>
      </w:r>
    </w:p>
    <w:p>
      <w:r>
        <w:t>Quy định trọng yếu: Bằng chứng phê duyệt, workflow, chữ ký điện tử và email chính thức lưu tối thiểu 7 năm.</w:t>
      </w:r>
    </w:p>
    <w:p>
      <w:r>
        <w:t>Đối với chủ đề báo cáo định kỳ, tài liệu Chính sách truyền thông khủng hoảng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truyền thông khủng hoảng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truyền thông khủng hoảng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truyền thông khủng hoảng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truyền thông khủng hoảng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truyền thông khủng hoảng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truyền thông khủng hoảng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truyền thông khủng hoảng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3.6 Crisis_Communications_Policy Exception</w:t>
      </w:r>
    </w:p>
    <w:p>
      <w:r>
        <w:t>Quy định trọng yếu: Ngoại lệ phải có ngày hết hạn, người chịu trách nhiệm, biện pháp giảm thiểu và lưu 3 năm sau ngày đóng.</w:t>
      </w:r>
    </w:p>
    <w:p>
      <w:r>
        <w:t>Đối với chủ đề rủi ro và kiểm toán, tài liệu Chính sách truyền thông khủng hoảng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truyền thông khủng hoảng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truyền thông khủng hoảng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truyền thông khủng hoảng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truyền thông khủng hoảng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truyền thông khủng hoảng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truyền thông khủng hoảng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truyền thông khủng hoảng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Pr>
        <w:pStyle w:val="Heading2"/>
      </w:pPr>
      <w:r>
        <w:t>4. Ma trận RACI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Hoạt động</w:t>
            </w:r>
          </w:p>
        </w:tc>
        <w:tc>
          <w:tcPr>
            <w:tcW w:type="dxa" w:w="1728"/>
          </w:tcPr>
          <w:p>
            <w:r>
              <w:t>Responsible</w:t>
            </w:r>
          </w:p>
        </w:tc>
        <w:tc>
          <w:tcPr>
            <w:tcW w:type="dxa" w:w="1728"/>
          </w:tcPr>
          <w:p>
            <w:r>
              <w:t>Accountable</w:t>
            </w:r>
          </w:p>
        </w:tc>
        <w:tc>
          <w:tcPr>
            <w:tcW w:type="dxa" w:w="1728"/>
          </w:tcPr>
          <w:p>
            <w:r>
              <w:t>Consulted</w:t>
            </w:r>
          </w:p>
        </w:tc>
        <w:tc>
          <w:tcPr>
            <w:tcW w:type="dxa" w:w="1728"/>
          </w:tcPr>
          <w:p>
            <w:r>
              <w:t>Informed</w:t>
            </w:r>
          </w:p>
        </w:tc>
      </w:tr>
      <w:tr>
        <w:tc>
          <w:tcPr>
            <w:tcW w:type="dxa" w:w="1728"/>
          </w:tcPr>
          <w:p>
            <w:r>
              <w:t>Soạn thảo và cập nhật</w:t>
            </w:r>
          </w:p>
        </w:tc>
        <w:tc>
          <w:tcPr>
            <w:tcW w:type="dxa" w:w="1728"/>
          </w:tcPr>
          <w:p>
            <w:r>
              <w:t>Phòng Truyền thông</w:t>
            </w:r>
          </w:p>
        </w:tc>
        <w:tc>
          <w:tcPr>
            <w:tcW w:type="dxa" w:w="1728"/>
          </w:tcPr>
          <w:p>
            <w:r>
              <w:t>COO</w:t>
            </w:r>
          </w:p>
        </w:tc>
        <w:tc>
          <w:tcPr>
            <w:tcW w:type="dxa" w:w="1728"/>
          </w:tcPr>
          <w:p>
            <w:r>
              <w:t>Pháp chế, Risk, IT Security</w:t>
            </w:r>
          </w:p>
        </w:tc>
        <w:tc>
          <w:tcPr>
            <w:tcW w:type="dxa" w:w="1728"/>
          </w:tcPr>
          <w:p>
            <w:r>
              <w:t>Các trưởng phòng</w:t>
            </w:r>
          </w:p>
        </w:tc>
      </w:tr>
      <w:tr>
        <w:tc>
          <w:tcPr>
            <w:tcW w:type="dxa" w:w="1728"/>
          </w:tcPr>
          <w:p>
            <w:r>
              <w:t>Phê duyệt ngoại lệ</w:t>
            </w:r>
          </w:p>
        </w:tc>
        <w:tc>
          <w:tcPr>
            <w:tcW w:type="dxa" w:w="1728"/>
          </w:tcPr>
          <w:p>
            <w:r>
              <w:t>Chủ sở hữu quy trình</w:t>
            </w:r>
          </w:p>
        </w:tc>
        <w:tc>
          <w:tcPr>
            <w:tcW w:type="dxa" w:w="1728"/>
          </w:tcPr>
          <w:p>
            <w:r>
              <w:t>COO</w:t>
            </w:r>
          </w:p>
        </w:tc>
        <w:tc>
          <w:tcPr>
            <w:tcW w:type="dxa" w:w="1728"/>
          </w:tcPr>
          <w:p>
            <w:r>
              <w:t>Tài chính hoặc Privacy Officer nếu liên quan</w:t>
            </w:r>
          </w:p>
        </w:tc>
        <w:tc>
          <w:tcPr>
            <w:tcW w:type="dxa" w:w="1728"/>
          </w:tcPr>
          <w:p>
            <w:r>
              <w:t>Kiểm toán nội bộ</w:t>
            </w:r>
          </w:p>
        </w:tc>
      </w:tr>
      <w:tr>
        <w:tc>
          <w:tcPr>
            <w:tcW w:type="dxa" w:w="1728"/>
          </w:tcPr>
          <w:p>
            <w:r>
              <w:t>Kiểm tra bằng chứng</w:t>
            </w:r>
          </w:p>
        </w:tc>
        <w:tc>
          <w:tcPr>
            <w:tcW w:type="dxa" w:w="1728"/>
          </w:tcPr>
          <w:p>
            <w:r>
              <w:t>Đội vận hành quy trình</w:t>
            </w:r>
          </w:p>
        </w:tc>
        <w:tc>
          <w:tcPr>
            <w:tcW w:type="dxa" w:w="1728"/>
          </w:tcPr>
          <w:p>
            <w:r>
              <w:t>Phòng Truyền thông</w:t>
            </w:r>
          </w:p>
        </w:tc>
        <w:tc>
          <w:tcPr>
            <w:tcW w:type="dxa" w:w="1728"/>
          </w:tcPr>
          <w:p>
            <w:r>
              <w:t>Kiểm toán nội bộ</w:t>
            </w:r>
          </w:p>
        </w:tc>
        <w:tc>
          <w:tcPr>
            <w:tcW w:type="dxa" w:w="1728"/>
          </w:tcPr>
          <w:p>
            <w:r>
              <w:t>Ban Điều hành khi có sai lệch lớn</w:t>
            </w:r>
          </w:p>
        </w:tc>
      </w:tr>
      <w:tr>
        <w:tc>
          <w:tcPr>
            <w:tcW w:type="dxa" w:w="1728"/>
          </w:tcPr>
          <w:p>
            <w:r>
              <w:t>Đào tạo và truyền thông</w:t>
            </w:r>
          </w:p>
        </w:tc>
        <w:tc>
          <w:tcPr>
            <w:tcW w:type="dxa" w:w="1728"/>
          </w:tcPr>
          <w:p>
            <w:r>
              <w:t>Phòng Truyền thông</w:t>
            </w:r>
          </w:p>
        </w:tc>
        <w:tc>
          <w:tcPr>
            <w:tcW w:type="dxa" w:w="1728"/>
          </w:tcPr>
          <w:p>
            <w:r>
              <w:t>Phòng Truyền thông</w:t>
            </w:r>
          </w:p>
        </w:tc>
        <w:tc>
          <w:tcPr>
            <w:tcW w:type="dxa" w:w="1728"/>
          </w:tcPr>
          <w:p>
            <w:r>
              <w:t>HRBP, Communications</w:t>
            </w:r>
          </w:p>
        </w:tc>
        <w:tc>
          <w:tcPr>
            <w:tcW w:type="dxa" w:w="1728"/>
          </w:tcPr>
          <w:p>
            <w:r>
              <w:t>Toàn bộ nhân viên liên quan</w:t>
            </w:r>
          </w:p>
        </w:tc>
      </w:tr>
    </w:tbl>
    <w:p>
      <w:pPr>
        <w:pStyle w:val="Heading2"/>
      </w:pPr>
      <w:r>
        <w:t>5. Tình huống kiểm thử RAG</w:t>
      </w:r>
    </w:p>
    <w:p>
      <w:pPr>
        <w:pStyle w:val="Heading3"/>
      </w:pPr>
      <w:r>
        <w:t>5.1 Tình huống vai trò chịu trách nhiệm</w:t>
      </w:r>
    </w:p>
    <w:p>
      <w:r>
        <w:t>Một người dùng hỏi về vai trò chịu trách nhiệm nhưng dùng thuật ngữ gần giống trong business_continuity_policy.md. Hệ thống RAG phải ưu tiên tài liệu có trạng thái đang hiệu lực, kiểm tra mã APD-COM-042, và nếu câu hỏi liên quan đến ngưỡng chuẩn thì phải dẫn lại consistency index hoặc điều khoản trọng yếu tương ứng. Câu trả lời không được tự tạo ngưỡng mới.</w:t>
      </w:r>
    </w:p>
    <w:p>
      <w:pPr>
        <w:pStyle w:val="Heading3"/>
      </w:pPr>
      <w:r>
        <w:t>5.2 Tình huống quy trình phê duyệt</w:t>
      </w:r>
    </w:p>
    <w:p>
      <w:r>
        <w:t>Một người dùng hỏi về quy trình phê duyệt nhưng dùng thuật ngữ gần giống trong it_security_policy.md. Hệ thống RAG phải ưu tiên tài liệu có trạng thái đang hiệu lực, kiểm tra mã APD-COM-042, và nếu câu hỏi liên quan đến ngưỡng chuẩn thì phải dẫn lại consistency index hoặc điều khoản trọng yếu tương ứng. Câu trả lời không được tự tạo ngưỡng mới.</w:t>
      </w:r>
    </w:p>
    <w:p>
      <w:pPr>
        <w:pStyle w:val="Heading3"/>
      </w:pPr>
      <w:r>
        <w:t>5.3 Tình huống bằng chứng kiểm soát</w:t>
      </w:r>
    </w:p>
    <w:p>
      <w:r>
        <w:t>Một người dùng hỏi về bằng chứng kiểm soát nhưng dùng thuật ngữ gần giống trong incident_response_playbook.md. Hệ thống RAG phải ưu tiên tài liệu có trạng thái đang hiệu lực, kiểm tra mã APD-COM-042, và nếu câu hỏi liên quan đến ngưỡng chuẩn thì phải dẫn lại consistency index hoặc điều khoản trọng yếu tương ứng. Câu trả lời không được tự tạo ngưỡng mới.</w:t>
      </w:r>
    </w:p>
    <w:p>
      <w:pPr>
        <w:pStyle w:val="Heading3"/>
      </w:pPr>
      <w:r>
        <w:t>5.4 Tình huống ngoại lệ</w:t>
      </w:r>
    </w:p>
    <w:p>
      <w:r>
        <w:t>Một người dùng hỏi về ngoại lệ nhưng dùng thuật ngữ gần giống trong business_continuity_policy.md. Hệ thống RAG phải ưu tiên tài liệu có trạng thái đang hiệu lực, kiểm tra mã APD-COM-042, và nếu câu hỏi liên quan đến ngưỡng chuẩn thì phải dẫn lại consistency index hoặc điều khoản trọng yếu tương ứng. Câu trả lời không được tự tạo ngưỡng mới.</w:t>
      </w:r>
    </w:p>
    <w:p>
      <w:pPr>
        <w:pStyle w:val="Heading3"/>
      </w:pPr>
      <w:r>
        <w:t>5.5 Tình huống báo cáo định kỳ</w:t>
      </w:r>
    </w:p>
    <w:p>
      <w:r>
        <w:t>Một người dùng hỏi về báo cáo định kỳ nhưng dùng thuật ngữ gần giống trong it_security_policy.md. Hệ thống RAG phải ưu tiên tài liệu có trạng thái đang hiệu lực, kiểm tra mã APD-COM-042, và nếu câu hỏi liên quan đến ngưỡng chuẩn thì phải dẫn lại consistency index hoặc điều khoản trọng yếu tương ứng. Câu trả lời không được tự tạo ngưỡng mới.</w:t>
      </w:r>
    </w:p>
    <w:p>
      <w:pPr>
        <w:pStyle w:val="Heading3"/>
      </w:pPr>
      <w:r>
        <w:t>5.6 Tình huống rủi ro và kiểm toán</w:t>
      </w:r>
    </w:p>
    <w:p>
      <w:r>
        <w:t>Một người dùng hỏi về rủi ro và kiểm toán nhưng dùng thuật ngữ gần giống trong incident_response_playbook.md. Hệ thống RAG phải ưu tiên tài liệu có trạng thái đang hiệu lực, kiểm tra mã APD-COM-042, và nếu câu hỏi liên quan đến ngưỡng chuẩn thì phải dẫn lại consistency index hoặc điều khoản trọng yếu tương ứng. Câu trả lời không được tự tạo ngưỡng mới.</w:t>
      </w:r>
    </w:p>
    <w:p>
      <w:pPr>
        <w:pStyle w:val="Heading3"/>
      </w:pPr>
      <w:r>
        <w:t>5.7 Tình huống tham chiếu chéo</w:t>
      </w:r>
    </w:p>
    <w:p>
      <w:r>
        <w:t>Một người dùng hỏi về tham chiếu chéo nhưng dùng thuật ngữ gần giống trong business_continuity_policy.md. Hệ thống RAG phải ưu tiên tài liệu có trạng thái đang hiệu lực, kiểm tra mã APD-COM-042, và nếu câu hỏi liên quan đến ngưỡng chuẩn thì phải dẫn lại consistency index hoặc điều khoản trọng yếu tương ứng. Câu trả lời không được tự tạo ngưỡng mới.</w:t>
      </w:r>
    </w:p>
    <w:p>
      <w:pPr>
        <w:pStyle w:val="Heading3"/>
      </w:pPr>
      <w:r>
        <w:t>5.8 Tình huống phạm vi áp dụng</w:t>
      </w:r>
    </w:p>
    <w:p>
      <w:r>
        <w:t>Một người dùng hỏi về phạm vi áp dụng nhưng dùng thuật ngữ gần giống trong it_security_policy.md. Hệ thống RAG phải ưu tiên tài liệu có trạng thái đang hiệu lực, kiểm tra mã APD-COM-042, và nếu câu hỏi liên quan đến ngưỡng chuẩn thì phải dẫn lại consistency index hoặc điều khoản trọng yếu tương ứng. Câu trả lời không được tự tạo ngưỡng mới.</w:t>
      </w:r>
    </w:p>
    <w:p>
      <w:pPr>
        <w:pStyle w:val="Heading3"/>
      </w:pPr>
      <w:r>
        <w:t>5.9 Tình huống vai trò chịu trách nhiệm</w:t>
      </w:r>
    </w:p>
    <w:p>
      <w:r>
        <w:t>Một người dùng hỏi về vai trò chịu trách nhiệm nhưng dùng thuật ngữ gần giống trong incident_response_playbook.md. Hệ thống RAG phải ưu tiên tài liệu có trạng thái đang hiệu lực, kiểm tra mã APD-COM-042, và nếu câu hỏi liên quan đến ngưỡng chuẩn thì phải dẫn lại consistency index hoặc điều khoản trọng yếu tương ứng. Câu trả lời không được tự tạo ngưỡng mới.</w:t>
      </w:r>
    </w:p>
    <w:p>
      <w:pPr>
        <w:pStyle w:val="Heading3"/>
      </w:pPr>
      <w:r>
        <w:t>5.10 Tình huống quy trình phê duyệt</w:t>
      </w:r>
    </w:p>
    <w:p>
      <w:r>
        <w:t>Một người dùng hỏi về quy trình phê duyệt nhưng dùng thuật ngữ gần giống trong business_continuity_policy.md. Hệ thống RAG phải ưu tiên tài liệu có trạng thái đang hiệu lực, kiểm tra mã APD-COM-042, và nếu câu hỏi liên quan đến ngưỡng chuẩn thì phải dẫn lại consistency index hoặc điều khoản trọng yếu tương ứng. Câu trả lời không được tự tạo ngưỡng mới.</w:t>
      </w:r>
    </w:p>
    <w:p>
      <w:pPr>
        <w:pStyle w:val="Heading3"/>
      </w:pPr>
      <w:r>
        <w:t>5.11 Tình huống bằng chứng kiểm soát</w:t>
      </w:r>
    </w:p>
    <w:p>
      <w:r>
        <w:t>Một người dùng hỏi về bằng chứng kiểm soát nhưng dùng thuật ngữ gần giống trong it_security_policy.md. Hệ thống RAG phải ưu tiên tài liệu có trạng thái đang hiệu lực, kiểm tra mã APD-COM-042, và nếu câu hỏi liên quan đến ngưỡng chuẩn thì phải dẫn lại consistency index hoặc điều khoản trọng yếu tương ứng. Câu trả lời không được tự tạo ngưỡng mới.</w:t>
      </w:r>
    </w:p>
    <w:p>
      <w:pPr>
        <w:pStyle w:val="Heading3"/>
      </w:pPr>
      <w:r>
        <w:t>5.12 Tình huống ngoại lệ</w:t>
      </w:r>
    </w:p>
    <w:p>
      <w:r>
        <w:t>Một người dùng hỏi về ngoại lệ nhưng dùng thuật ngữ gần giống trong incident_response_playbook.md. Hệ thống RAG phải ưu tiên tài liệu có trạng thái đang hiệu lực, kiểm tra mã APD-COM-042, và nếu câu hỏi liên quan đến ngưỡng chuẩn thì phải dẫn lại consistency index hoặc điều khoản trọng yếu tương ứng. Câu trả lời không được tự tạo ngưỡng mới.</w:t>
      </w:r>
    </w:p>
    <w:p>
      <w:pPr>
        <w:pStyle w:val="Heading3"/>
      </w:pPr>
      <w:r>
        <w:t>5.13 Tình huống báo cáo định kỳ</w:t>
      </w:r>
    </w:p>
    <w:p>
      <w:r>
        <w:t>Một người dùng hỏi về báo cáo định kỳ nhưng dùng thuật ngữ gần giống trong business_continuity_policy.md. Hệ thống RAG phải ưu tiên tài liệu có trạng thái đang hiệu lực, kiểm tra mã APD-COM-042, và nếu câu hỏi liên quan đến ngưỡng chuẩn thì phải dẫn lại consistency index hoặc điều khoản trọng yếu tương ứng. Câu trả lời không được tự tạo ngưỡng mới.</w:t>
      </w:r>
    </w:p>
    <w:p>
      <w:pPr>
        <w:pStyle w:val="Heading3"/>
      </w:pPr>
      <w:r>
        <w:t>5.14 Tình huống rủi ro và kiểm toán</w:t>
      </w:r>
    </w:p>
    <w:p>
      <w:r>
        <w:t>Một người dùng hỏi về rủi ro và kiểm toán nhưng dùng thuật ngữ gần giống trong it_security_policy.md. Hệ thống RAG phải ưu tiên tài liệu có trạng thái đang hiệu lực, kiểm tra mã APD-COM-042, và nếu câu hỏi liên quan đến ngưỡng chuẩn thì phải dẫn lại consistency index hoặc điều khoản trọng yếu tương ứng. Câu trả lời không được tự tạo ngưỡng mới.</w:t>
      </w:r>
    </w:p>
    <w:p>
      <w:pPr>
        <w:pStyle w:val="Heading3"/>
      </w:pPr>
      <w:r>
        <w:t>5.15 Tình huống tham chiếu chéo</w:t>
      </w:r>
    </w:p>
    <w:p>
      <w:r>
        <w:t>Một người dùng hỏi về tham chiếu chéo nhưng dùng thuật ngữ gần giống trong incident_response_playbook.md. Hệ thống RAG phải ưu tiên tài liệu có trạng thái đang hiệu lực, kiểm tra mã APD-COM-042, và nếu câu hỏi liên quan đến ngưỡng chuẩn thì phải dẫn lại consistency index hoặc điều khoản trọng yếu tương ứng. Câu trả lời không được tự tạo ngưỡng mới.</w:t>
      </w:r>
    </w:p>
    <w:p>
      <w:pPr>
        <w:pStyle w:val="Heading3"/>
      </w:pPr>
      <w:r>
        <w:t>5.16 Tình huống phạm vi áp dụng</w:t>
      </w:r>
    </w:p>
    <w:p>
      <w:r>
        <w:t>Một người dùng hỏi về phạm vi áp dụng nhưng dùng thuật ngữ gần giống trong business_continuity_policy.md. Hệ thống RAG phải ưu tiên tài liệu có trạng thái đang hiệu lực, kiểm tra mã APD-COM-042, và nếu câu hỏi liên quan đến ngưỡng chuẩn thì phải dẫn lại consistency index hoặc điều khoản trọng yếu tương ứng. Câu trả lời không được tự tạo ngưỡng mới.</w:t>
      </w:r>
    </w:p>
    <w:p>
      <w:pPr>
        <w:pStyle w:val="Heading3"/>
      </w:pPr>
      <w:r>
        <w:t>5.17 Tình huống vai trò chịu trách nhiệm</w:t>
      </w:r>
    </w:p>
    <w:p>
      <w:r>
        <w:t>Một người dùng hỏi về vai trò chịu trách nhiệm nhưng dùng thuật ngữ gần giống trong it_security_policy.md. Hệ thống RAG phải ưu tiên tài liệu có trạng thái đang hiệu lực, kiểm tra mã APD-COM-042, và nếu câu hỏi liên quan đến ngưỡng chuẩn thì phải dẫn lại consistency index hoặc điều khoản trọng yếu tương ứng. Câu trả lời không được tự tạo ngưỡng mới.</w:t>
      </w:r>
    </w:p>
    <w:p>
      <w:pPr>
        <w:pStyle w:val="Heading3"/>
      </w:pPr>
      <w:r>
        <w:t>5.18 Tình huống quy trình phê duyệt</w:t>
      </w:r>
    </w:p>
    <w:p>
      <w:r>
        <w:t>Một người dùng hỏi về quy trình phê duyệt nhưng dùng thuật ngữ gần giống trong incident_response_playbook.md. Hệ thống RAG phải ưu tiên tài liệu có trạng thái đang hiệu lực, kiểm tra mã APD-COM-042, và nếu câu hỏi liên quan đến ngưỡng chuẩn thì phải dẫn lại consistency index hoặc điều khoản trọng yếu tương ứng. Câu trả lời không được tự tạo ngưỡng mới.</w:t>
      </w:r>
    </w:p>
    <w:p>
      <w:pPr>
        <w:pStyle w:val="Heading3"/>
      </w:pPr>
      <w:r>
        <w:t>5.19 Tình huống bằng chứng kiểm soát</w:t>
      </w:r>
    </w:p>
    <w:p>
      <w:r>
        <w:t>Một người dùng hỏi về bằng chứng kiểm soát nhưng dùng thuật ngữ gần giống trong business_continuity_policy.md. Hệ thống RAG phải ưu tiên tài liệu có trạng thái đang hiệu lực, kiểm tra mã APD-COM-042, và nếu câu hỏi liên quan đến ngưỡng chuẩn thì phải dẫn lại consistency index hoặc điều khoản trọng yếu tương ứng. Câu trả lời không được tự tạo ngưỡng mới.</w:t>
      </w:r>
    </w:p>
    <w:p>
      <w:pPr>
        <w:pStyle w:val="Heading3"/>
      </w:pPr>
      <w:r>
        <w:t>5.20 Tình huống ngoại lệ</w:t>
      </w:r>
    </w:p>
    <w:p>
      <w:r>
        <w:t>Một người dùng hỏi về ngoại lệ nhưng dùng thuật ngữ gần giống trong it_security_policy.md. Hệ thống RAG phải ưu tiên tài liệu có trạng thái đang hiệu lực, kiểm tra mã APD-COM-042, và nếu câu hỏi liên quan đến ngưỡng chuẩn thì phải dẫn lại consistency index hoặc điều khoản trọng yếu tương ứng. Câu trả lời không được tự tạo ngưỡng mới.</w:t>
      </w:r>
    </w:p>
    <w:p>
      <w:pPr>
        <w:pStyle w:val="Heading3"/>
      </w:pPr>
      <w:r>
        <w:t>5.21 Tình huống báo cáo định kỳ</w:t>
      </w:r>
    </w:p>
    <w:p>
      <w:r>
        <w:t>Một người dùng hỏi về báo cáo định kỳ nhưng dùng thuật ngữ gần giống trong incident_response_playbook.md. Hệ thống RAG phải ưu tiên tài liệu có trạng thái đang hiệu lực, kiểm tra mã APD-COM-042, và nếu câu hỏi liên quan đến ngưỡng chuẩn thì phải dẫn lại consistency index hoặc điều khoản trọng yếu tương ứng. Câu trả lời không được tự tạo ngưỡng mới.</w:t>
      </w:r>
    </w:p>
    <w:p>
      <w:pPr>
        <w:pStyle w:val="Heading3"/>
      </w:pPr>
      <w:r>
        <w:t>5.22 Tình huống rủi ro và kiểm toán</w:t>
      </w:r>
    </w:p>
    <w:p>
      <w:r>
        <w:t>Một người dùng hỏi về rủi ro và kiểm toán nhưng dùng thuật ngữ gần giống trong business_continuity_policy.md. Hệ thống RAG phải ưu tiên tài liệu có trạng thái đang hiệu lực, kiểm tra mã APD-COM-042, và nếu câu hỏi liên quan đến ngưỡng chuẩn thì phải dẫn lại consistency index hoặc điều khoản trọng yếu tương ứng. Câu trả lời không được tự tạo ngưỡng mới.</w:t>
      </w:r>
    </w:p>
    <w:p>
      <w:pPr>
        <w:pStyle w:val="Heading3"/>
      </w:pPr>
      <w:r>
        <w:t>5.23 Tình huống tham chiếu chéo</w:t>
      </w:r>
    </w:p>
    <w:p>
      <w:r>
        <w:t>Một người dùng hỏi về tham chiếu chéo nhưng dùng thuật ngữ gần giống trong it_security_policy.md. Hệ thống RAG phải ưu tiên tài liệu có trạng thái đang hiệu lực, kiểm tra mã APD-COM-042, và nếu câu hỏi liên quan đến ngưỡng chuẩn thì phải dẫn lại consistency index hoặc điều khoản trọng yếu tương ứng. Câu trả lời không được tự tạo ngưỡng mới.</w:t>
      </w:r>
    </w:p>
    <w:p>
      <w:pPr>
        <w:pStyle w:val="Heading3"/>
      </w:pPr>
      <w:r>
        <w:t>5.24 Tình huống phạm vi áp dụng</w:t>
      </w:r>
    </w:p>
    <w:p>
      <w:r>
        <w:t>Một người dùng hỏi về phạm vi áp dụng nhưng dùng thuật ngữ gần giống trong incident_response_playbook.md. Hệ thống RAG phải ưu tiên tài liệu có trạng thái đang hiệu lực, kiểm tra mã APD-COM-042, và nếu câu hỏi liên quan đến ngưỡng chuẩn thì phải dẫn lại consistency index hoặc điều khoản trọng yếu tương ứng. Câu trả lời không được tự tạo ngưỡng mới.</w:t>
      </w:r>
    </w:p>
    <w:p>
      <w:pPr>
        <w:pStyle w:val="Heading3"/>
      </w:pPr>
      <w:r>
        <w:t>5.25 Tình huống vai trò chịu trách nhiệm</w:t>
      </w:r>
    </w:p>
    <w:p>
      <w:r>
        <w:t>Một người dùng hỏi về vai trò chịu trách nhiệm nhưng dùng thuật ngữ gần giống trong business_continuity_policy.md. Hệ thống RAG phải ưu tiên tài liệu có trạng thái đang hiệu lực, kiểm tra mã APD-COM-042, và nếu câu hỏi liên quan đến ngưỡng chuẩn thì phải dẫn lại consistency index hoặc điều khoản trọng yếu tương ứng. Câu trả lời không được tự tạo ngưỡng mới.</w:t>
      </w:r>
    </w:p>
    <w:p>
      <w:pPr>
        <w:pStyle w:val="Heading2"/>
      </w:pPr>
      <w:r>
        <w:t>6. FAQ</w:t>
      </w:r>
    </w:p>
    <w:p>
      <w:r>
        <w:t>Hỏi 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pPr>
        <w:pStyle w:val="Heading2"/>
      </w:pPr>
      <w:r>
        <w:t>7. Phụ lục</w:t>
      </w:r>
    </w:p>
    <w:p>
      <w:pPr>
        <w:pStyle w:val="ListBullet"/>
      </w:pPr>
      <w:r>
        <w:t>- Phụ lục A: danh sách tài liệu liên quan được dùng cho truy xuất chéo.</w:t>
      </w:r>
    </w:p>
    <w:p>
      <w:pPr>
        <w:pStyle w:val="ListBullet"/>
      </w:pPr>
      <w:r>
        <w:t>- Phụ lục B: checklist kiểm tra mâu thuẫn trước khi ban hành.</w:t>
      </w:r>
    </w:p>
    <w:p>
      <w:pPr>
        <w:pStyle w:val="ListBullet"/>
      </w:pPr>
      <w:r>
        <w:t>- Phụ lục C: hướng dẫn gắn metadata policy_code, effective_date, owner, domain, source_anchor khi ingest RAG.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