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ủy quyền và thẩm quyền ký duyệt</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APD-GOV-059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Tổng Giám đốc</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ủy quyền và thẩm quyền ký duyệt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Delegation_Authority_Policy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Delegation_Authority_Policy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Delegation_Authority_Policy Advance_Settlement</w:t>
      </w:r>
    </w:p>
    <w:p>
      <w:r>
        <w:t>Quy định trọng yếu: Tạm ứng phải được quyết toán trong 10 ngày làm việc sau khi hoàn tất hoạt động liên quan.</w:t>
      </w:r>
    </w:p>
    <w:p>
      <w:r>
        <w:t>Đối với chủ đề bằng chứng kiểm soát,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Delegation_Authority_Policy Payment_Term</w:t>
      </w:r>
    </w:p>
    <w:p>
      <w:r>
        <w:t>Quy định trọng yếu: Điều khoản thanh toán chuẩn với khách hàng là 30 ngày; điều khoản trên 60 ngày cần CFO phê duyệt.</w:t>
      </w:r>
    </w:p>
    <w:p>
      <w:r>
        <w:t>Đối với chủ đề ngoại lệ,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Delegation_Authority_Policy Evidence</w:t>
      </w:r>
    </w:p>
    <w:p>
      <w:r>
        <w:t>Quy định trọng yếu: Bằng chứng phê duyệt, workflow, chữ ký điện tử và email chính thức lưu tối thiểu 7 năm.</w:t>
      </w:r>
    </w:p>
    <w:p>
      <w:r>
        <w:t>Đối với chủ đề báo cáo định kỳ,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Delegation_Authority_Policy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ủy quyền và thẩm quyền ký duyệt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ủy quyền và thẩm quyền ký duyệt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ủy quyền và thẩm quyền ký duyệt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ủy quyền và thẩm quyền ký duyệt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ủy quyền và thẩm quyền ký duyệt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ủy quyền và thẩm quyền ký duyệt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Tổng Giám đốc</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Tổng Giám đốc</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Tổng Giám đốc</w:t>
            </w:r>
          </w:p>
        </w:tc>
        <w:tc>
          <w:tcPr>
            <w:tcW w:type="dxa" w:w="1728"/>
          </w:tcPr>
          <w:p>
            <w:r>
              <w:t>Văn phòng Tổng Giám đốc</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APD-GOV-059,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