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quà tặng và tiếp khách</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APD-LEGAL-040</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Pháp chế</w:t>
            </w:r>
          </w:p>
        </w:tc>
      </w:tr>
      <w:tr>
        <w:tc>
          <w:tcPr>
            <w:tcW w:type="dxa" w:w="4320"/>
          </w:tcPr>
          <w:p>
            <w:r>
              <w:t>Người phê duyệt</w:t>
            </w:r>
          </w:p>
        </w:tc>
        <w:tc>
          <w:tcPr>
            <w:tcW w:type="dxa" w:w="4320"/>
          </w:tcPr>
          <w:p>
            <w:r>
              <w:t>CFO</w:t>
            </w:r>
          </w:p>
        </w:tc>
      </w:tr>
      <w:tr>
        <w:tc>
          <w:tcPr>
            <w:tcW w:type="dxa" w:w="4320"/>
          </w:tcPr>
          <w:p>
            <w:r>
              <w:t>Miền chính sách</w:t>
            </w:r>
          </w:p>
        </w:tc>
        <w:tc>
          <w:tcPr>
            <w:tcW w:type="dxa" w:w="4320"/>
          </w:tcPr>
          <w:p>
            <w:r>
              <w:t>finance</w:t>
            </w:r>
          </w:p>
        </w:tc>
      </w:tr>
      <w:tr>
        <w:tc>
          <w:tcPr>
            <w:tcW w:type="dxa" w:w="4320"/>
          </w:tcPr>
          <w:p>
            <w:r>
              <w:t>Tài liệu liên quan</w:t>
            </w:r>
          </w:p>
        </w:tc>
        <w:tc>
          <w:tcPr>
            <w:tcW w:type="dxa" w:w="4320"/>
          </w:tcPr>
          <w:p>
            <w:r>
              <w:t>finance_procurement_policy.md, travel_expense_policy.md, sales_contract_policy.md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quà tặng và tiếp khách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finance</w:t>
            </w:r>
          </w:p>
        </w:tc>
        <w:tc>
          <w:tcPr>
            <w:tcW w:type="dxa" w:w="2880"/>
          </w:tcPr>
          <w:p>
            <w:r>
              <w:t>three_quotes</w:t>
            </w:r>
          </w:p>
        </w:tc>
        <w:tc>
          <w:tcPr>
            <w:tcW w:type="dxa" w:w="2880"/>
          </w:tcPr>
          <w:p>
            <w:r>
              <w:t>Đơn mua hàng từ 50.000.000 VND trở lên phải có tối thiểu 3 báo giá hợp lệ, trừ nhà cung cấp độc quyền đã được CFO chấp thuận.</w:t>
            </w:r>
          </w:p>
        </w:tc>
      </w:tr>
      <w:tr>
        <w:tc>
          <w:tcPr>
            <w:tcW w:type="dxa" w:w="2880"/>
          </w:tcPr>
          <w:p>
            <w:r>
              <w:t>finance</w:t>
            </w:r>
          </w:p>
        </w:tc>
        <w:tc>
          <w:tcPr>
            <w:tcW w:type="dxa" w:w="2880"/>
          </w:tcPr>
          <w:p>
            <w:r>
              <w:t>po_before_invoice</w:t>
            </w:r>
          </w:p>
        </w:tc>
        <w:tc>
          <w:tcPr>
            <w:tcW w:type="dxa" w:w="2880"/>
          </w:tcPr>
          <w:p>
            <w:r>
              <w:t>Hóa đơn chỉ được thanh toán khi có PO đã phê duyệt trước ngày hóa đơn, trừ chi phí tiện ích định kỳ đã được CFO cho phép.</w:t>
            </w:r>
          </w:p>
        </w:tc>
      </w:tr>
      <w:tr>
        <w:tc>
          <w:tcPr>
            <w:tcW w:type="dxa" w:w="2880"/>
          </w:tcPr>
          <w:p>
            <w:r>
              <w:t>finance</w:t>
            </w:r>
          </w:p>
        </w:tc>
        <w:tc>
          <w:tcPr>
            <w:tcW w:type="dxa" w:w="2880"/>
          </w:tcPr>
          <w:p>
            <w:r>
              <w:t>advance_settlement</w:t>
            </w:r>
          </w:p>
        </w:tc>
        <w:tc>
          <w:tcPr>
            <w:tcW w:type="dxa" w:w="2880"/>
          </w:tcPr>
          <w:p>
            <w:r>
              <w:t>Tạm ứng phải được quyết toán trong 10 ngày làm việc sau khi hoàn tất hoạt động liên quan.</w:t>
            </w:r>
          </w:p>
        </w:tc>
      </w:tr>
      <w:tr>
        <w:tc>
          <w:tcPr>
            <w:tcW w:type="dxa" w:w="2880"/>
          </w:tcPr>
          <w:p>
            <w:r>
              <w:t>finance</w:t>
            </w:r>
          </w:p>
        </w:tc>
        <w:tc>
          <w:tcPr>
            <w:tcW w:type="dxa" w:w="2880"/>
          </w:tcPr>
          <w:p>
            <w:r>
              <w:t>payment_term</w:t>
            </w:r>
          </w:p>
        </w:tc>
        <w:tc>
          <w:tcPr>
            <w:tcW w:type="dxa" w:w="2880"/>
          </w:tcPr>
          <w:p>
            <w:r>
              <w:t>Điều khoản thanh toán chuẩn với khách hàng là 30 ngày; điều khoản trên 60 ngày cần CFO phê duyệt.</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Gifts_Hospitality_Policy Three_Quotes</w:t>
      </w:r>
    </w:p>
    <w:p>
      <w:r>
        <w:t>Quy định trọng yếu: Đơn mua hàng từ 50.000.000 VND trở lên phải có tối thiểu 3 báo giá hợp lệ, trừ nhà cung cấp độc quyền đã được CFO chấp thuận.</w:t>
      </w:r>
    </w:p>
    <w:p>
      <w:r>
        <w:t>Đối với chủ đề vai trò chịu trách nhiệm, tài liệu Chính sách quà tặng và tiếp khách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quà tặng và tiếp khách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quà tặng và tiếp khách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quà tặng và tiếp khách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quà tặng và tiếp khách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quà tặng và tiếp khách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quà tặng và tiếp khách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quà tặng và tiếp khách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Gifts_Hospitality_Policy Po_Before_Invoice</w:t>
      </w:r>
    </w:p>
    <w:p>
      <w:r>
        <w:t>Quy định trọng yếu: Hóa đơn chỉ được thanh toán khi có PO đã phê duyệt trước ngày hóa đơn, trừ chi phí tiện ích định kỳ đã được CFO cho phép.</w:t>
      </w:r>
    </w:p>
    <w:p>
      <w:r>
        <w:t>Đối với chủ đề quy trình phê duyệt, tài liệu Chính sách quà tặng và tiếp khách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quà tặng và tiếp khách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quà tặng và tiếp khách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quà tặng và tiếp khách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quà tặng và tiếp khách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quà tặng và tiếp khách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quà tặng và tiếp khách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quà tặng và tiếp khách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Gifts_Hospitality_Policy Advance_Settlement</w:t>
      </w:r>
    </w:p>
    <w:p>
      <w:r>
        <w:t>Quy định trọng yếu: Tạm ứng phải được quyết toán trong 10 ngày làm việc sau khi hoàn tất hoạt động liên quan.</w:t>
      </w:r>
    </w:p>
    <w:p>
      <w:r>
        <w:t>Đối với chủ đề bằng chứng kiểm soát, tài liệu Chính sách quà tặng và tiếp khách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quà tặng và tiếp khách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quà tặng và tiếp khách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quà tặng và tiếp khách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quà tặng và tiếp khách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quà tặng và tiếp khách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quà tặng và tiếp khách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quà tặng và tiếp khách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Gifts_Hospitality_Policy Payment_Term</w:t>
      </w:r>
    </w:p>
    <w:p>
      <w:r>
        <w:t>Quy định trọng yếu: Điều khoản thanh toán chuẩn với khách hàng là 30 ngày; điều khoản trên 60 ngày cần CFO phê duyệt.</w:t>
      </w:r>
    </w:p>
    <w:p>
      <w:r>
        <w:t>Đối với chủ đề ngoại lệ, tài liệu Chính sách quà tặng và tiếp khách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quà tặng và tiếp khách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quà tặng và tiếp khách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quà tặng và tiếp khách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quà tặng và tiếp khách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quà tặng và tiếp khách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quà tặng và tiếp khách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quà tặng và tiếp khách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Gifts_Hospitality_Policy Evidence</w:t>
      </w:r>
    </w:p>
    <w:p>
      <w:r>
        <w:t>Quy định trọng yếu: Bằng chứng phê duyệt, workflow, chữ ký điện tử và email chính thức lưu tối thiểu 7 năm.</w:t>
      </w:r>
    </w:p>
    <w:p>
      <w:r>
        <w:t>Đối với chủ đề báo cáo định kỳ, tài liệu Chính sách quà tặng và tiếp khách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quà tặng và tiếp khách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quà tặng và tiếp khách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quà tặng và tiếp khách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quà tặng và tiếp khách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quà tặng và tiếp khách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quà tặng và tiếp khách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quà tặng và tiếp khách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Gifts_Hospitality_Policy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quà tặng và tiếp khách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quà tặng và tiếp khách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quà tặng và tiếp khách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quà tặng và tiếp khách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quà tặng và tiếp khách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quà tặng và tiếp khách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quà tặng và tiếp khách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quà tặng và tiếp khách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Pháp chế</w:t>
            </w:r>
          </w:p>
        </w:tc>
        <w:tc>
          <w:tcPr>
            <w:tcW w:type="dxa" w:w="1728"/>
          </w:tcPr>
          <w:p>
            <w:r>
              <w:t>CFO</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CFO</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Pháp chế</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Pháp chế</w:t>
            </w:r>
          </w:p>
        </w:tc>
        <w:tc>
          <w:tcPr>
            <w:tcW w:type="dxa" w:w="1728"/>
          </w:tcPr>
          <w:p>
            <w:r>
              <w:t>Phòng Pháp chế</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travel_expense_policy.md. Hệ thống RAG phải ưu tiên tài liệu có trạng thái đang hiệu lực, kiểm tra mã APD-LEGAL-040,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sales_contract_policy.md. Hệ thống RAG phải ưu tiên tài liệu có trạng thái đang hiệu lực, kiểm tra mã APD-LEGAL-040,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finance_procurement_policy.md. Hệ thống RAG phải ưu tiên tài liệu có trạng thái đang hiệu lực, kiểm tra mã APD-LEGAL-040,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travel_expense_policy.md. Hệ thống RAG phải ưu tiên tài liệu có trạng thái đang hiệu lực, kiểm tra mã APD-LEGAL-040,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sales_contract_policy.md. Hệ thống RAG phải ưu tiên tài liệu có trạng thái đang hiệu lực, kiểm tra mã APD-LEGAL-040,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finance_procurement_policy.md. Hệ thống RAG phải ưu tiên tài liệu có trạng thái đang hiệu lực, kiểm tra mã APD-LEGAL-040,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travel_expense_policy.md. Hệ thống RAG phải ưu tiên tài liệu có trạng thái đang hiệu lực, kiểm tra mã APD-LEGAL-040,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sales_contract_policy.md. Hệ thống RAG phải ưu tiên tài liệu có trạng thái đang hiệu lực, kiểm tra mã APD-LEGAL-040,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finance_procurement_policy.md. Hệ thống RAG phải ưu tiên tài liệu có trạng thái đang hiệu lực, kiểm tra mã APD-LEGAL-040,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travel_expense_policy.md. Hệ thống RAG phải ưu tiên tài liệu có trạng thái đang hiệu lực, kiểm tra mã APD-LEGAL-040,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sales_contract_policy.md. Hệ thống RAG phải ưu tiên tài liệu có trạng thái đang hiệu lực, kiểm tra mã APD-LEGAL-040,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finance_procurement_policy.md. Hệ thống RAG phải ưu tiên tài liệu có trạng thái đang hiệu lực, kiểm tra mã APD-LEGAL-040,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travel_expense_policy.md. Hệ thống RAG phải ưu tiên tài liệu có trạng thái đang hiệu lực, kiểm tra mã APD-LEGAL-040,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sales_contract_policy.md. Hệ thống RAG phải ưu tiên tài liệu có trạng thái đang hiệu lực, kiểm tra mã APD-LEGAL-040,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finance_procurement_policy.md. Hệ thống RAG phải ưu tiên tài liệu có trạng thái đang hiệu lực, kiểm tra mã APD-LEGAL-040,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travel_expense_policy.md. Hệ thống RAG phải ưu tiên tài liệu có trạng thái đang hiệu lực, kiểm tra mã APD-LEGAL-040,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sales_contract_policy.md. Hệ thống RAG phải ưu tiên tài liệu có trạng thái đang hiệu lực, kiểm tra mã APD-LEGAL-040,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finance_procurement_policy.md. Hệ thống RAG phải ưu tiên tài liệu có trạng thái đang hiệu lực, kiểm tra mã APD-LEGAL-040,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travel_expense_policy.md. Hệ thống RAG phải ưu tiên tài liệu có trạng thái đang hiệu lực, kiểm tra mã APD-LEGAL-040,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sales_contract_policy.md. Hệ thống RAG phải ưu tiên tài liệu có trạng thái đang hiệu lực, kiểm tra mã APD-LEGAL-040,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finance_procurement_policy.md. Hệ thống RAG phải ưu tiên tài liệu có trạng thái đang hiệu lực, kiểm tra mã APD-LEGAL-040,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travel_expense_policy.md. Hệ thống RAG phải ưu tiên tài liệu có trạng thái đang hiệu lực, kiểm tra mã APD-LEGAL-040,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sales_contract_policy.md. Hệ thống RAG phải ưu tiên tài liệu có trạng thái đang hiệu lực, kiểm tra mã APD-LEGAL-040,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finance_procurement_policy.md. Hệ thống RAG phải ưu tiên tài liệu có trạng thái đang hiệu lực, kiểm tra mã APD-LEGAL-040,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travel_expense_policy.md. Hệ thống RAG phải ưu tiên tài liệu có trạng thái đang hiệu lực, kiểm tra mã APD-LEGAL-040,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