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Playbook xử lý sự cố vận hành, bảo mật và dữ liệu</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APD-OPS-008</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1.9</w:t>
            </w:r>
          </w:p>
        </w:tc>
      </w:tr>
      <w:tr>
        <w:tc>
          <w:tcPr>
            <w:tcW w:type="dxa" w:w="4320"/>
          </w:tcPr>
          <w:p>
            <w:r>
              <w:t>Ngày hiệu lực</w:t>
            </w:r>
          </w:p>
        </w:tc>
        <w:tc>
          <w:tcPr>
            <w:tcW w:type="dxa" w:w="4320"/>
          </w:tcPr>
          <w:p>
            <w:r>
              <w:t>2026-04-15</w:t>
            </w:r>
          </w:p>
        </w:tc>
      </w:tr>
      <w:tr>
        <w:tc>
          <w:tcPr>
            <w:tcW w:type="dxa" w:w="4320"/>
          </w:tcPr>
          <w:p>
            <w:r>
              <w:t>Ngày rà soát kế tiếp</w:t>
            </w:r>
          </w:p>
        </w:tc>
        <w:tc>
          <w:tcPr>
            <w:tcW w:type="dxa" w:w="4320"/>
          </w:tcPr>
          <w:p>
            <w:r>
              <w:t>2026-12-31</w:t>
            </w:r>
          </w:p>
        </w:tc>
      </w:tr>
      <w:tr>
        <w:tc>
          <w:tcPr>
            <w:tcW w:type="dxa" w:w="4320"/>
          </w:tcPr>
          <w:p>
            <w:r>
              <w:t>Chủ sở hữu</w:t>
            </w:r>
          </w:p>
        </w:tc>
        <w:tc>
          <w:tcPr>
            <w:tcW w:type="dxa" w:w="4320"/>
          </w:tcPr>
          <w:p>
            <w:r>
              <w:t>Trung tâm Vận hành</w:t>
            </w:r>
          </w:p>
        </w:tc>
      </w:tr>
      <w:tr>
        <w:tc>
          <w:tcPr>
            <w:tcW w:type="dxa" w:w="4320"/>
          </w:tcPr>
          <w:p>
            <w:r>
              <w:t>Người phê duyệt</w:t>
            </w:r>
          </w:p>
        </w:tc>
        <w:tc>
          <w:tcPr>
            <w:tcW w:type="dxa" w:w="4320"/>
          </w:tcPr>
          <w:p>
            <w:r>
              <w:t>COO</w:t>
            </w:r>
          </w:p>
        </w:tc>
      </w:tr>
      <w:tr>
        <w:tc>
          <w:tcPr>
            <w:tcW w:type="dxa" w:w="4320"/>
          </w:tcPr>
          <w:p>
            <w:r>
              <w:t>Đối tượng áp dụng</w:t>
            </w:r>
          </w:p>
        </w:tc>
        <w:tc>
          <w:tcPr>
            <w:tcW w:type="dxa" w:w="4320"/>
          </w:tcPr>
          <w:p>
            <w:r>
              <w:t>Đội vận hành, IT, bảo mật, pháp chế, truyền thông và quản lý khủng hoảng</w:t>
            </w:r>
          </w:p>
        </w:tc>
      </w:tr>
      <w:tr>
        <w:tc>
          <w:tcPr>
            <w:tcW w:type="dxa" w:w="4320"/>
          </w:tcPr>
          <w:p>
            <w:r>
              <w:t>Tài liệu liên quan</w:t>
            </w:r>
          </w:p>
        </w:tc>
        <w:tc>
          <w:tcPr>
            <w:tcW w:type="dxa" w:w="4320"/>
          </w:tcPr>
          <w:p>
            <w:r>
              <w:t>it_security_policy.md, data_privacy_policy.md</w:t>
            </w:r>
          </w:p>
        </w:tc>
      </w:tr>
      <w:tr>
        <w:tc>
          <w:tcPr>
            <w:tcW w:type="dxa" w:w="4320"/>
          </w:tcPr>
          <w:p>
            <w:r>
              <w:t>Mục đích test RAG</w:t>
            </w:r>
          </w:p>
        </w:tc>
        <w:tc>
          <w:tcPr>
            <w:tcW w:type="dxa" w:w="4320"/>
          </w:tcPr>
          <w:p>
            <w:r>
              <w:t>Tài liệu giả lập, không phải chính sách pháp lý của công ty thật</w:t>
            </w:r>
          </w:p>
        </w:tc>
      </w:tr>
    </w:tbl>
    <w:p>
      <w:pPr>
        <w:pStyle w:val="Heading2"/>
      </w:pPr>
      <w:r>
        <w:t>Lịch sử phiên bản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Phiên bản</w:t>
            </w:r>
          </w:p>
        </w:tc>
        <w:tc>
          <w:tcPr>
            <w:tcW w:type="dxa" w:w="2160"/>
          </w:tcPr>
          <w:p>
            <w:r>
              <w:t>Ngày</w:t>
            </w:r>
          </w:p>
        </w:tc>
        <w:tc>
          <w:tcPr>
            <w:tcW w:type="dxa" w:w="2160"/>
          </w:tcPr>
          <w:p>
            <w:r>
              <w:t>Người cập nhật</w:t>
            </w:r>
          </w:p>
        </w:tc>
        <w:tc>
          <w:tcPr>
            <w:tcW w:type="dxa" w:w="2160"/>
          </w:tcPr>
          <w:p>
            <w:r>
              <w:t>Thay đổi chính</w:t>
            </w:r>
          </w:p>
        </w:tc>
      </w:tr>
      <w:tr>
        <w:tc>
          <w:tcPr>
            <w:tcW w:type="dxa" w:w="2160"/>
          </w:tcPr>
          <w:p>
            <w:r>
              <w:t>1.0</w:t>
            </w:r>
          </w:p>
        </w:tc>
        <w:tc>
          <w:tcPr>
            <w:tcW w:type="dxa" w:w="2160"/>
          </w:tcPr>
          <w:p>
            <w:r>
              <w:t>2025-01-15</w:t>
            </w:r>
          </w:p>
        </w:tc>
        <w:tc>
          <w:tcPr>
            <w:tcW w:type="dxa" w:w="2160"/>
          </w:tcPr>
          <w:p>
            <w:r>
              <w:t>Trung tâm Vận hành</w:t>
            </w:r>
          </w:p>
        </w:tc>
        <w:tc>
          <w:tcPr>
            <w:tcW w:type="dxa" w:w="2160"/>
          </w:tcPr>
          <w:p>
            <w:r>
              <w:t>Ban hành khung chính sách ban đầu</w:t>
            </w:r>
          </w:p>
        </w:tc>
      </w:tr>
      <w:tr>
        <w:tc>
          <w:tcPr>
            <w:tcW w:type="dxa" w:w="2160"/>
          </w:tcPr>
          <w:p>
            <w:r>
              <w:t>1.4</w:t>
            </w:r>
          </w:p>
        </w:tc>
        <w:tc>
          <w:tcPr>
            <w:tcW w:type="dxa" w:w="2160"/>
          </w:tcPr>
          <w:p>
            <w:r>
              <w:t>2025-08-20</w:t>
            </w:r>
          </w:p>
        </w:tc>
        <w:tc>
          <w:tcPr>
            <w:tcW w:type="dxa" w:w="2160"/>
          </w:tcPr>
          <w:p>
            <w:r>
              <w:t>Trung tâm Vận hành</w:t>
            </w:r>
          </w:p>
        </w:tc>
        <w:tc>
          <w:tcPr>
            <w:tcW w:type="dxa" w:w="2160"/>
          </w:tcPr>
          <w:p>
            <w:r>
              <w:t>Bổ sung ma trận vai trò và yêu cầu bằng chứng</w:t>
            </w:r>
          </w:p>
        </w:tc>
      </w:tr>
      <w:tr>
        <w:tc>
          <w:tcPr>
            <w:tcW w:type="dxa" w:w="2160"/>
          </w:tcPr>
          <w:p>
            <w:r>
              <w:t>1.9</w:t>
            </w:r>
          </w:p>
        </w:tc>
        <w:tc>
          <w:tcPr>
            <w:tcW w:type="dxa" w:w="2160"/>
          </w:tcPr>
          <w:p>
            <w:r>
              <w:t>2026-04-15</w:t>
            </w:r>
          </w:p>
        </w:tc>
        <w:tc>
          <w:tcPr>
            <w:tcW w:type="dxa" w:w="2160"/>
          </w:tcPr>
          <w:p>
            <w:r>
              <w:t>COO</w:t>
            </w:r>
          </w:p>
        </w:tc>
        <w:tc>
          <w:tcPr>
            <w:tcW w:type="dxa" w:w="2160"/>
          </w:tcPr>
          <w:p>
            <w:r>
              <w:t>Cập nhật ngưỡng phê duyệt, ngoại lệ và phụ lục</w:t>
            </w:r>
          </w:p>
        </w:tc>
      </w:tr>
    </w:tbl>
    <w:p>
      <w:pPr>
        <w:pStyle w:val="Heading2"/>
      </w:pPr>
      <w:r>
        <w:t>Mục lục</w:t>
      </w:r>
    </w:p>
    <w:p>
      <w:pPr>
        <w:pStyle w:val="ListBullet"/>
      </w:pPr>
      <w:r>
        <w:t>- 1. Mục tiêu</w:t>
      </w:r>
    </w:p>
    <w:p>
      <w:pPr>
        <w:pStyle w:val="ListBullet"/>
      </w:pPr>
      <w:r>
        <w:t>- 2. Phạm vi áp dụng</w:t>
      </w:r>
    </w:p>
    <w:p>
      <w:pPr>
        <w:pStyle w:val="ListBullet"/>
      </w:pPr>
      <w:r>
        <w:t>- 3. Thuật ngữ</w:t>
      </w:r>
    </w:p>
    <w:p>
      <w:pPr>
        <w:pStyle w:val="ListBullet"/>
      </w:pPr>
      <w:r>
        <w:t>- 4. Nguyên tắc kiểm soát</w:t>
      </w:r>
    </w:p>
    <w:p>
      <w:pPr>
        <w:pStyle w:val="ListBullet"/>
      </w:pPr>
      <w:r>
        <w:t>- 5. Quy định chi tiết</w:t>
      </w:r>
    </w:p>
    <w:p>
      <w:pPr>
        <w:pStyle w:val="ListBullet"/>
      </w:pPr>
      <w:r>
        <w:t>- 6. Ngoại lệ và phê duyệt</w:t>
      </w:r>
    </w:p>
    <w:p>
      <w:pPr>
        <w:pStyle w:val="ListBullet"/>
      </w:pPr>
      <w:r>
        <w:t>- 7. Bằng chứng và lưu trữ</w:t>
      </w:r>
    </w:p>
    <w:p>
      <w:pPr>
        <w:pStyle w:val="ListBullet"/>
      </w:pPr>
      <w:r>
        <w:t>- 8. Tình huống nghiệp vụ</w:t>
      </w:r>
    </w:p>
    <w:p>
      <w:pPr>
        <w:pStyle w:val="ListBullet"/>
      </w:pPr>
      <w:r>
        <w:t>- 9. FAQ</w:t>
      </w:r>
    </w:p>
    <w:p>
      <w:pPr>
        <w:pStyle w:val="ListBullet"/>
      </w:pPr>
      <w:r>
        <w:t>- 10. Phụ lục</w:t>
      </w:r>
    </w:p>
    <w:p>
      <w:pPr>
        <w:pStyle w:val="Heading2"/>
      </w:pPr>
      <w:r>
        <w:t>1. Mục tiêu</w:t>
      </w:r>
    </w:p>
    <w:p>
      <w:r>
        <w:t>Tài liệu này thiết lập chuẩn vận hành thống nhất cho Công ty TNHH An Phát Digital trong chủ đề playbook xử lý sự cố vận hành, bảo mật và dữ liệu. Mục tiêu là giảm phụ thuộc vào truyền miệng, giúp nhân viên tra cứu nhanh, giúp quản lý phê duyệt nhất quán và tạo dữ liệu kiểm thử đủ giàu cho các hệ thống tìm kiếm ngữ nghĩa, chunking, reranking và trích dẫn nguồn.</w:t>
      </w:r>
    </w:p>
    <w:p>
      <w:r>
        <w:t>Tài liệu có chủ ý chứa các điều khoản gần giống nhau, ngoại lệ theo cấp bậc, bảng hạn mức và tham chiếu chéo. Các chi tiết này giúp kiểm tra hệ thống RAG có truy xuất đúng đoạn nguồn hay chỉ trả lời theo mẫu chung.</w:t>
      </w:r>
    </w:p>
    <w:p>
      <w:pPr>
        <w:pStyle w:val="Heading2"/>
      </w:pPr>
      <w:r>
        <w:t>2. Phạm vi áp dụng</w:t>
      </w:r>
    </w:p>
    <w:p>
      <w:r>
        <w:t>Chính sách áp dụng cho đội vận hành, it, bảo mật, pháp chế, truyền thông và quản lý khủng hoảng. Nếu một quy định trong tài liệu chuyên ngành khác mâu thuẫn với tài liệu này, người dùng phải ưu tiên tài liệu có mã hiệu cụ thể hơn và ngày hiệu lực mới hơn, đồng thời ghi nhận câu hỏi trong kênh hỗ trợ chính sách nội bộ.</w:t>
      </w:r>
    </w:p>
    <w:p>
      <w:r>
        <w:t>Các công ty con, nhà thầu và đối tác triển khai dịch vụ theo hợp đồng với An Phát Digital phải tuân thủ các điều khoản được dẫn chiếu trong hợp đồng hoặc phụ lục bảo mật. Trường hợp hợp đồng có chuẩn cao hơn, chuẩn hợp đồng được ưu tiên.</w:t>
      </w:r>
    </w:p>
    <w:p>
      <w:pPr>
        <w:pStyle w:val="Heading2"/>
      </w:pPr>
      <w:r>
        <w:t>3. Thuật ngữ</w:t>
      </w:r>
    </w:p>
    <w:tbl>
      <w:tblPr>
        <w:tblStyle w:val="TableGrid"/>
        <w:tblW w:type="auto" w:w="0"/>
        <w:tblLook w:firstColumn="1" w:firstRow="1" w:lastColumn="0" w:lastRow="0" w:noHBand="0" w:noVBand="1" w:val="04A0"/>
      </w:tblPr>
      <w:tblGrid>
        <w:gridCol w:w="4320"/>
        <w:gridCol w:w="4320"/>
      </w:tblGrid>
      <w:tr>
        <w:tc>
          <w:tcPr>
            <w:tcW w:type="dxa" w:w="4320"/>
          </w:tcPr>
          <w:p>
            <w:r>
              <w:t>Thuật ngữ</w:t>
            </w:r>
          </w:p>
        </w:tc>
        <w:tc>
          <w:tcPr>
            <w:tcW w:type="dxa" w:w="4320"/>
          </w:tcPr>
          <w:p>
            <w:r>
              <w:t>Định nghĩa</w:t>
            </w:r>
          </w:p>
        </w:tc>
      </w:tr>
      <w:tr>
        <w:tc>
          <w:tcPr>
            <w:tcW w:type="dxa" w:w="4320"/>
          </w:tcPr>
          <w:p>
            <w:r>
              <w:t>Dữ liệu mật</w:t>
            </w:r>
          </w:p>
        </w:tc>
        <w:tc>
          <w:tcPr>
            <w:tcW w:type="dxa" w:w="4320"/>
          </w:tcPr>
          <w:p>
            <w:r>
              <w:t>Thông tin chỉ được truy cập bởi nhóm được phê duyệt bằng văn bản hoặc qua hệ thống IAM.</w:t>
            </w:r>
          </w:p>
        </w:tc>
      </w:tr>
      <w:tr>
        <w:tc>
          <w:tcPr>
            <w:tcW w:type="dxa" w:w="4320"/>
          </w:tcPr>
          <w:p>
            <w:r>
              <w:t>Chủ sở hữu quy trình</w:t>
            </w:r>
          </w:p>
        </w:tc>
        <w:tc>
          <w:tcPr>
            <w:tcW w:type="dxa" w:w="4320"/>
          </w:tcPr>
          <w:p>
            <w:r>
              <w:t>Người chịu trách nhiệm cuối cùng về tính đúng đắn, cập nhật và bằng chứng kiểm soát của quy trình.</w:t>
            </w:r>
          </w:p>
        </w:tc>
      </w:tr>
      <w:tr>
        <w:tc>
          <w:tcPr>
            <w:tcW w:type="dxa" w:w="4320"/>
          </w:tcPr>
          <w:p>
            <w:r>
              <w:t>Ngoại lệ</w:t>
            </w:r>
          </w:p>
        </w:tc>
        <w:tc>
          <w:tcPr>
            <w:tcW w:type="dxa" w:w="4320"/>
          </w:tcPr>
          <w:p>
            <w:r>
              <w:t>Tình huống không tuân theo quy định chuẩn nhưng được chấp thuận có thời hạn và có lý do nghiệp vụ.</w:t>
            </w:r>
          </w:p>
        </w:tc>
      </w:tr>
      <w:tr>
        <w:tc>
          <w:tcPr>
            <w:tcW w:type="dxa" w:w="4320"/>
          </w:tcPr>
          <w:p>
            <w:r>
              <w:t>Bằng chứng kiểm soát</w:t>
            </w:r>
          </w:p>
        </w:tc>
        <w:tc>
          <w:tcPr>
            <w:tcW w:type="dxa" w:w="4320"/>
          </w:tcPr>
          <w:p>
            <w:r>
              <w:t>Log, biên bản, ticket, email phê duyệt hoặc báo cáo dùng để chứng minh quy định đã được thực hiện.</w:t>
            </w:r>
          </w:p>
        </w:tc>
      </w:tr>
      <w:tr>
        <w:tc>
          <w:tcPr>
            <w:tcW w:type="dxa" w:w="4320"/>
          </w:tcPr>
          <w:p>
            <w:r>
              <w:t>RACI</w:t>
            </w:r>
          </w:p>
        </w:tc>
        <w:tc>
          <w:tcPr>
            <w:tcW w:type="dxa" w:w="4320"/>
          </w:tcPr>
          <w:p>
            <w:r>
              <w:t>Ma trận vai trò gồm Responsible, Accountable, Consulted và Informed.</w:t>
            </w:r>
          </w:p>
        </w:tc>
      </w:tr>
      <w:tr>
        <w:tc>
          <w:tcPr>
            <w:tcW w:type="dxa" w:w="4320"/>
          </w:tcPr>
          <w:p>
            <w:r>
              <w:t>Dữ liệu cá nhân</w:t>
            </w:r>
          </w:p>
        </w:tc>
        <w:tc>
          <w:tcPr>
            <w:tcW w:type="dxa" w:w="4320"/>
          </w:tcPr>
          <w:p>
            <w:r>
              <w:t>Thông tin có thể dùng trực tiếp hoặc gián tiếp để xác định một cá nhân.</w:t>
            </w:r>
          </w:p>
        </w:tc>
      </w:tr>
    </w:tbl>
    <w:p>
      <w:pPr>
        <w:pStyle w:val="Heading2"/>
      </w:pPr>
      <w:r>
        <w:t>4. Nguyên tắc kiểm soát</w:t>
      </w:r>
    </w:p>
    <w:p>
      <w:pPr>
        <w:pStyle w:val="ListBullet"/>
      </w:pPr>
      <w:r>
        <w:t>1. Quyền phê duyệt phải đi cùng trách nhiệm giải trình và không được ủy quyền miệng.</w:t>
      </w:r>
    </w:p>
    <w:p>
      <w:pPr>
        <w:pStyle w:val="ListBullet"/>
      </w:pPr>
      <w:r>
        <w:t>2. Mọi ngoại lệ phải có ngày hết hạn, lý do nghiệp vụ, người chịu trách nhiệm và bằng chứng giảm thiểu rủi ro.</w:t>
      </w:r>
    </w:p>
    <w:p>
      <w:pPr>
        <w:pStyle w:val="ListBullet"/>
      </w:pPr>
      <w:r>
        <w:t>3. Bằng chứng kiểm soát phải đủ để một người không tham gia giao dịch vẫn tái dựng được quyết định.</w:t>
      </w:r>
    </w:p>
    <w:p>
      <w:pPr>
        <w:pStyle w:val="ListBullet"/>
      </w:pPr>
      <w:r>
        <w:t>4. Dữ liệu trong hệ thống chính thức được ưu tiên hơn file cá nhân, ảnh chụp màn hình rời rạc hoặc tin nhắn không lưu trữ.</w:t>
      </w:r>
    </w:p>
    <w:p>
      <w:pPr>
        <w:pStyle w:val="ListBullet"/>
      </w:pPr>
      <w:r>
        <w:t>5. Khi có xung đột giữa tốc độ xử lý và yêu cầu tuân thủ, người xử lý phải báo cáo cấp quản lý để quyết định theo rủi ro.</w:t>
      </w:r>
    </w:p>
    <w:p>
      <w:pPr>
        <w:pStyle w:val="Heading3"/>
      </w:pPr>
      <w:r>
        <w:t>4.1 Ma trận phê duyệt dùng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Loại yêu cầu</w:t>
            </w:r>
          </w:p>
        </w:tc>
        <w:tc>
          <w:tcPr>
            <w:tcW w:type="dxa" w:w="1728"/>
          </w:tcPr>
          <w:p>
            <w:r>
              <w:t>Ngưỡng</w:t>
            </w:r>
          </w:p>
        </w:tc>
        <w:tc>
          <w:tcPr>
            <w:tcW w:type="dxa" w:w="1728"/>
          </w:tcPr>
          <w:p>
            <w:r>
              <w:t>Người phê duyệt chính</w:t>
            </w:r>
          </w:p>
        </w:tc>
        <w:tc>
          <w:tcPr>
            <w:tcW w:type="dxa" w:w="1728"/>
          </w:tcPr>
          <w:p>
            <w:r>
              <w:t>Người tham vấn</w:t>
            </w:r>
          </w:p>
        </w:tc>
        <w:tc>
          <w:tcPr>
            <w:tcW w:type="dxa" w:w="1728"/>
          </w:tcPr>
          <w:p>
            <w:r>
              <w:t>SLA phê duyệt</w:t>
            </w:r>
          </w:p>
        </w:tc>
      </w:tr>
      <w:tr>
        <w:tc>
          <w:tcPr>
            <w:tcW w:type="dxa" w:w="1728"/>
          </w:tcPr>
          <w:p>
            <w:r>
              <w:t>Mua sắm tiêu chuẩn</w:t>
            </w:r>
          </w:p>
        </w:tc>
        <w:tc>
          <w:tcPr>
            <w:tcW w:type="dxa" w:w="1728"/>
          </w:tcPr>
          <w:p>
            <w:r>
              <w:t>&lt; 50.000.000 VND</w:t>
            </w:r>
          </w:p>
        </w:tc>
        <w:tc>
          <w:tcPr>
            <w:tcW w:type="dxa" w:w="1728"/>
          </w:tcPr>
          <w:p>
            <w:r>
              <w:t>Trưởng phòng</w:t>
            </w:r>
          </w:p>
        </w:tc>
        <w:tc>
          <w:tcPr>
            <w:tcW w:type="dxa" w:w="1728"/>
          </w:tcPr>
          <w:p>
            <w:r>
              <w:t>Tài chính</w:t>
            </w:r>
          </w:p>
        </w:tc>
        <w:tc>
          <w:tcPr>
            <w:tcW w:type="dxa" w:w="1728"/>
          </w:tcPr>
          <w:p>
            <w:r>
              <w:t>2 ngày làm việc</w:t>
            </w:r>
          </w:p>
        </w:tc>
      </w:tr>
      <w:tr>
        <w:tc>
          <w:tcPr>
            <w:tcW w:type="dxa" w:w="1728"/>
          </w:tcPr>
          <w:p>
            <w:r>
              <w:t>Mua sắm có 3 báo giá</w:t>
            </w:r>
          </w:p>
        </w:tc>
        <w:tc>
          <w:tcPr>
            <w:tcW w:type="dxa" w:w="1728"/>
          </w:tcPr>
          <w:p>
            <w:r>
              <w:t>50.000.000-499.999.999 VND</w:t>
            </w:r>
          </w:p>
        </w:tc>
        <w:tc>
          <w:tcPr>
            <w:tcW w:type="dxa" w:w="1728"/>
          </w:tcPr>
          <w:p>
            <w:r>
              <w:t>Giám đốc Khối</w:t>
            </w:r>
          </w:p>
        </w:tc>
        <w:tc>
          <w:tcPr>
            <w:tcW w:type="dxa" w:w="1728"/>
          </w:tcPr>
          <w:p>
            <w:r>
              <w:t>Procurement</w:t>
            </w:r>
          </w:p>
        </w:tc>
        <w:tc>
          <w:tcPr>
            <w:tcW w:type="dxa" w:w="1728"/>
          </w:tcPr>
          <w:p>
            <w:r>
              <w:t>3 ngày làm việc</w:t>
            </w:r>
          </w:p>
        </w:tc>
      </w:tr>
      <w:tr>
        <w:tc>
          <w:tcPr>
            <w:tcW w:type="dxa" w:w="1728"/>
          </w:tcPr>
          <w:p>
            <w:r>
              <w:t>Mua sắm lớn</w:t>
            </w:r>
          </w:p>
        </w:tc>
        <w:tc>
          <w:tcPr>
            <w:tcW w:type="dxa" w:w="1728"/>
          </w:tcPr>
          <w:p>
            <w:r>
              <w:t>500.000.000-1.999.999.999 VND</w:t>
            </w:r>
          </w:p>
        </w:tc>
        <w:tc>
          <w:tcPr>
            <w:tcW w:type="dxa" w:w="1728"/>
          </w:tcPr>
          <w:p>
            <w:r>
              <w:t>Giám đốc Khối và CFO</w:t>
            </w:r>
          </w:p>
        </w:tc>
        <w:tc>
          <w:tcPr>
            <w:tcW w:type="dxa" w:w="1728"/>
          </w:tcPr>
          <w:p>
            <w:r>
              <w:t>Pháp chế nếu có hợp đồng</w:t>
            </w:r>
          </w:p>
        </w:tc>
        <w:tc>
          <w:tcPr>
            <w:tcW w:type="dxa" w:w="1728"/>
          </w:tcPr>
          <w:p>
            <w:r>
              <w:t>5 ngày làm việc</w:t>
            </w:r>
          </w:p>
        </w:tc>
      </w:tr>
      <w:tr>
        <w:tc>
          <w:tcPr>
            <w:tcW w:type="dxa" w:w="1728"/>
          </w:tcPr>
          <w:p>
            <w:r>
              <w:t>Mua sắm chiến lược</w:t>
            </w:r>
          </w:p>
        </w:tc>
        <w:tc>
          <w:tcPr>
            <w:tcW w:type="dxa" w:w="1728"/>
          </w:tcPr>
          <w:p>
            <w:r>
              <w:t>&gt;= 2.000.000.000 VND</w:t>
            </w:r>
          </w:p>
        </w:tc>
        <w:tc>
          <w:tcPr>
            <w:tcW w:type="dxa" w:w="1728"/>
          </w:tcPr>
          <w:p>
            <w:r>
              <w:t>CFO và Tổng Giám đốc</w:t>
            </w:r>
          </w:p>
        </w:tc>
        <w:tc>
          <w:tcPr>
            <w:tcW w:type="dxa" w:w="1728"/>
          </w:tcPr>
          <w:p>
            <w:r>
              <w:t>Procurement, Legal</w:t>
            </w:r>
          </w:p>
        </w:tc>
        <w:tc>
          <w:tcPr>
            <w:tcW w:type="dxa" w:w="1728"/>
          </w:tcPr>
          <w:p>
            <w:r>
              <w:t>7 ngày làm việc</w:t>
            </w:r>
          </w:p>
        </w:tc>
      </w:tr>
      <w:tr>
        <w:tc>
          <w:tcPr>
            <w:tcW w:type="dxa" w:w="1728"/>
          </w:tcPr>
          <w:p>
            <w:r>
              <w:t>Chiết khấu thương mại</w:t>
            </w:r>
          </w:p>
        </w:tc>
        <w:tc>
          <w:tcPr>
            <w:tcW w:type="dxa" w:w="1728"/>
          </w:tcPr>
          <w:p>
            <w:r>
              <w:t>20%-35%</w:t>
            </w:r>
          </w:p>
        </w:tc>
        <w:tc>
          <w:tcPr>
            <w:tcW w:type="dxa" w:w="1728"/>
          </w:tcPr>
          <w:p>
            <w:r>
              <w:t>Giám đốc Kinh doanh và CFO</w:t>
            </w:r>
          </w:p>
        </w:tc>
        <w:tc>
          <w:tcPr>
            <w:tcW w:type="dxa" w:w="1728"/>
          </w:tcPr>
          <w:p>
            <w:r>
              <w:t>Revenue Operations</w:t>
            </w:r>
          </w:p>
        </w:tc>
        <w:tc>
          <w:tcPr>
            <w:tcW w:type="dxa" w:w="1728"/>
          </w:tcPr>
          <w:p>
            <w:r>
              <w:t>3 ngày làm việc</w:t>
            </w:r>
          </w:p>
        </w:tc>
      </w:tr>
      <w:tr>
        <w:tc>
          <w:tcPr>
            <w:tcW w:type="dxa" w:w="1728"/>
          </w:tcPr>
          <w:p>
            <w:r>
              <w:t>Hợp đồng doanh thu</w:t>
            </w:r>
          </w:p>
        </w:tc>
        <w:tc>
          <w:tcPr>
            <w:tcW w:type="dxa" w:w="1728"/>
          </w:tcPr>
          <w:p>
            <w:r>
              <w:t>&gt; 5.000.000.000 VND</w:t>
            </w:r>
          </w:p>
        </w:tc>
        <w:tc>
          <w:tcPr>
            <w:tcW w:type="dxa" w:w="1728"/>
          </w:tcPr>
          <w:p>
            <w:r>
              <w:t>CFO và Tổng Giám đốc</w:t>
            </w:r>
          </w:p>
        </w:tc>
        <w:tc>
          <w:tcPr>
            <w:tcW w:type="dxa" w:w="1728"/>
          </w:tcPr>
          <w:p>
            <w:r>
              <w:t>Legal, Security</w:t>
            </w:r>
          </w:p>
        </w:tc>
        <w:tc>
          <w:tcPr>
            <w:tcW w:type="dxa" w:w="1728"/>
          </w:tcPr>
          <w:p>
            <w:r>
              <w:t>7 ngày làm việc</w:t>
            </w:r>
          </w:p>
        </w:tc>
      </w:tr>
      <w:tr>
        <w:tc>
          <w:tcPr>
            <w:tcW w:type="dxa" w:w="1728"/>
          </w:tcPr>
          <w:p>
            <w:r>
              <w:t>Làm việc từ nước ngoài</w:t>
            </w:r>
          </w:p>
        </w:tc>
        <w:tc>
          <w:tcPr>
            <w:tcW w:type="dxa" w:w="1728"/>
          </w:tcPr>
          <w:p>
            <w:r>
              <w:t>&gt; 10 ngày làm việc liên tục</w:t>
            </w:r>
          </w:p>
        </w:tc>
        <w:tc>
          <w:tcPr>
            <w:tcW w:type="dxa" w:w="1728"/>
          </w:tcPr>
          <w:p>
            <w:r>
              <w:t>HR, Legal và Director</w:t>
            </w:r>
          </w:p>
        </w:tc>
        <w:tc>
          <w:tcPr>
            <w:tcW w:type="dxa" w:w="1728"/>
          </w:tcPr>
          <w:p>
            <w:r>
              <w:t>IT Security</w:t>
            </w:r>
          </w:p>
        </w:tc>
        <w:tc>
          <w:tcPr>
            <w:tcW w:type="dxa" w:w="1728"/>
          </w:tcPr>
          <w:p>
            <w:r>
              <w:t>5 ngày làm việc</w:t>
            </w:r>
          </w:p>
        </w:tc>
      </w:tr>
      <w:tr>
        <w:tc>
          <w:tcPr>
            <w:tcW w:type="dxa" w:w="1728"/>
          </w:tcPr>
          <w:p>
            <w:r>
              <w:t>Ngoại lệ bảo mật</w:t>
            </w:r>
          </w:p>
        </w:tc>
        <w:tc>
          <w:tcPr>
            <w:tcW w:type="dxa" w:w="1728"/>
          </w:tcPr>
          <w:p>
            <w:r>
              <w:t>Bất kỳ</w:t>
            </w:r>
          </w:p>
        </w:tc>
        <w:tc>
          <w:tcPr>
            <w:tcW w:type="dxa" w:w="1728"/>
          </w:tcPr>
          <w:p>
            <w:r>
              <w:t>CISO</w:t>
            </w:r>
          </w:p>
        </w:tc>
        <w:tc>
          <w:tcPr>
            <w:tcW w:type="dxa" w:w="1728"/>
          </w:tcPr>
          <w:p>
            <w:r>
              <w:t>Data Owner</w:t>
            </w:r>
          </w:p>
        </w:tc>
        <w:tc>
          <w:tcPr>
            <w:tcW w:type="dxa" w:w="1728"/>
          </w:tcPr>
          <w:p>
            <w:r>
              <w:t>3 ngày làm việc</w:t>
            </w:r>
          </w:p>
        </w:tc>
      </w:tr>
    </w:tbl>
    <w:p>
      <w:pPr>
        <w:pStyle w:val="Heading2"/>
      </w:pPr>
      <w:r>
        <w:t>5. Quy định chi tiết</w:t>
      </w:r>
    </w:p>
    <w:p/>
    <w:p>
      <w:pPr>
        <w:pStyle w:val="Heading3"/>
      </w:pPr>
      <w:r>
        <w:t>5.1 Sev1 Bridge</w:t>
      </w:r>
    </w:p>
    <w:p>
      <w:r>
        <w:t>Quy định trọng yếu: Sự cố SEV-1 phải mở war-room trong vòng 15 phút sau khi phân loại và chỉ định Incident Commander.</w:t>
      </w:r>
    </w:p>
    <w:p>
      <w:r>
        <w:t>Đối với phạm vi SEV-1, Trung tâm Vận hành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war-room, Trung tâm Vận hành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thông báo khách hàng, Trung tâm Vận hành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postmortem, Trung tâm Vận hành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bằng chứng, Trung tâm Vận hành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khôi phục dịch vụ, Trung tâm Vận hành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SEV-1, Trung tâm Vận hành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war-room, Trung tâm Vận hành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sev1-bridge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5.2 Sev2 Update</w:t>
      </w:r>
    </w:p>
    <w:p>
      <w:r>
        <w:t>Quy định trọng yếu: Sự cố SEV-2 cần cập nhật trạng thái cho stakeholder mỗi 60 phút cho đến khi khôi phục dịch vụ.</w:t>
      </w:r>
    </w:p>
    <w:p>
      <w:r>
        <w:t>Đối với phạm vi SEV-1, Trung tâm Vận hành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war-room, Trung tâm Vận hành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thông báo khách hàng, Trung tâm Vận hành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postmortem, Trung tâm Vận hành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bằng chứng, Trung tâm Vận hành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khôi phục dịch vụ, Trung tâm Vận hành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SEV-1, Trung tâm Vận hành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war-room, Trung tâm Vận hành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sev2-update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5.3 Customer Notice</w:t>
      </w:r>
    </w:p>
    <w:p>
      <w:r>
        <w:t>Quy định trọng yếu: Thông báo khách hàng đối với sự cố ảnh hưởng dịch vụ diện rộng phải được Legal và Communications duyệt trước khi gửi.</w:t>
      </w:r>
    </w:p>
    <w:p>
      <w:r>
        <w:t>Đối với phạm vi bằng chứng, Trung tâm Vận hành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khôi phục dịch vụ, Trung tâm Vận hành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SEV-1, Trung tâm Vận hành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war-room, Trung tâm Vận hành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thông báo khách hàng, Trung tâm Vận hành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postmortem, Trung tâm Vận hành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bằng chứng, Trung tâm Vận hành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khôi phục dịch vụ, Trung tâm Vận hành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customer-notice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5.4 Postmortem Deadline</w:t>
      </w:r>
    </w:p>
    <w:p>
      <w:r>
        <w:t>Quy định trọng yếu: Postmortem cho SEV-1 và SEV-2 phải hoàn tất trong 5 ngày làm việc sau khi đóng sự cố.</w:t>
      </w:r>
    </w:p>
    <w:p>
      <w:r>
        <w:t>Đối với phạm vi thông báo khách hàng, Trung tâm Vận hành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postmortem, Trung tâm Vận hành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bằng chứng, Trung tâm Vận hành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khôi phục dịch vụ, Trung tâm Vận hành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SEV-1, Trung tâm Vận hành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war-room, Trung tâm Vận hành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thông báo khách hàng, Trung tâm Vận hành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postmortem, Trung tâm Vận hành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postmortem-deadline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5.5 Evidence Freeze</w:t>
      </w:r>
    </w:p>
    <w:p>
      <w:r>
        <w:t>Quy định trọng yếu: Bằng chứng log của sự cố bảo mật phải được đóng băng trong vòng 2 giờ sau khi xác nhận dấu hiệu xâm nhập.</w:t>
      </w:r>
    </w:p>
    <w:p>
      <w:r>
        <w:t>Đối với phạm vi bằng chứng, Trung tâm Vận hành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khôi phục dịch vụ, Trung tâm Vận hành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SEV-1, Trung tâm Vận hành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war-room, Trung tâm Vận hành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thông báo khách hàng, Trung tâm Vận hành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postmortem, Trung tâm Vận hành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bằng chứng, Trung tâm Vận hành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khôi phục dịch vụ, Trung tâm Vận hành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evidence-freeze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Pr>
        <w:pStyle w:val="Heading2"/>
      </w:pPr>
      <w:r>
        <w:t>6. Ngoại lệ và phê duyệt</w:t>
      </w:r>
    </w:p>
    <w:p>
      <w:r>
        <w:t>Ngoại lệ chỉ được chấp nhận khi có lý do nghiệp vụ rõ ràng, không tạo rủi ro vượt quá khẩu vị rủi ro đã được phê duyệt và có biện pháp thay thế tương đương. Người đề xuất ngoại lệ phải mô tả điều khoản bị ảnh hưởng, phạm vi thời gian, danh sách hệ thống hoặc giao dịch liên quan, và người chịu trách nhiệm đóng ngoại lệ.</w:t>
      </w:r>
    </w:p>
    <w:p>
      <w:r>
        <w:t>Ngoại lệ khẩn cấp có thể được phê duyệt qua email trong vòng 24 giờ nếu hoạt động đang ảnh hưởng khách hàng hoặc vận hành. Sau khi tình huống khẩn cấp kết thúc, hồ sơ ngoại lệ phải được chuẩn hóa trong hệ thống chính thức trong 3 ngày làm việc.</w:t>
      </w:r>
    </w:p>
    <w:p>
      <w:pPr>
        <w:pStyle w:val="Heading2"/>
      </w:pPr>
      <w:r>
        <w:t>7. Bằng chứng và lưu trữ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Nhóm bằng chứng</w:t>
            </w:r>
          </w:p>
        </w:tc>
        <w:tc>
          <w:tcPr>
            <w:tcW w:type="dxa" w:w="2160"/>
          </w:tcPr>
          <w:p>
            <w:r>
              <w:t>Ví dụ</w:t>
            </w:r>
          </w:p>
        </w:tc>
        <w:tc>
          <w:tcPr>
            <w:tcW w:type="dxa" w:w="2160"/>
          </w:tcPr>
          <w:p>
            <w:r>
              <w:t>Thời hạn lưu</w:t>
            </w:r>
          </w:p>
        </w:tc>
        <w:tc>
          <w:tcPr>
            <w:tcW w:type="dxa" w:w="2160"/>
          </w:tcPr>
          <w:p>
            <w:r>
              <w:t>Nơi lưu</w:t>
            </w:r>
          </w:p>
        </w:tc>
      </w:tr>
      <w:tr>
        <w:tc>
          <w:tcPr>
            <w:tcW w:type="dxa" w:w="2160"/>
          </w:tcPr>
          <w:p>
            <w:r>
              <w:t>Phê duyệt</w:t>
            </w:r>
          </w:p>
        </w:tc>
        <w:tc>
          <w:tcPr>
            <w:tcW w:type="dxa" w:w="2160"/>
          </w:tcPr>
          <w:p>
            <w:r>
              <w:t>Email, workflow, chữ ký điện tử</w:t>
            </w:r>
          </w:p>
        </w:tc>
        <w:tc>
          <w:tcPr>
            <w:tcW w:type="dxa" w:w="2160"/>
          </w:tcPr>
          <w:p>
            <w:r>
              <w:t>7 năm</w:t>
            </w:r>
          </w:p>
        </w:tc>
        <w:tc>
          <w:tcPr>
            <w:tcW w:type="dxa" w:w="2160"/>
          </w:tcPr>
          <w:p>
            <w:r>
              <w:t>Hệ thống quản trị tài liệu</w:t>
            </w:r>
          </w:p>
        </w:tc>
      </w:tr>
      <w:tr>
        <w:tc>
          <w:tcPr>
            <w:tcW w:type="dxa" w:w="2160"/>
          </w:tcPr>
          <w:p>
            <w:r>
              <w:t>Giao dịch</w:t>
            </w:r>
          </w:p>
        </w:tc>
        <w:tc>
          <w:tcPr>
            <w:tcW w:type="dxa" w:w="2160"/>
          </w:tcPr>
          <w:p>
            <w:r>
              <w:t>PO, hóa đơn, ticket, log</w:t>
            </w:r>
          </w:p>
        </w:tc>
        <w:tc>
          <w:tcPr>
            <w:tcW w:type="dxa" w:w="2160"/>
          </w:tcPr>
          <w:p>
            <w:r>
              <w:t>7 năm</w:t>
            </w:r>
          </w:p>
        </w:tc>
        <w:tc>
          <w:tcPr>
            <w:tcW w:type="dxa" w:w="2160"/>
          </w:tcPr>
          <w:p>
            <w:r>
              <w:t>ERP hoặc Service Desk</w:t>
            </w:r>
          </w:p>
        </w:tc>
      </w:tr>
      <w:tr>
        <w:tc>
          <w:tcPr>
            <w:tcW w:type="dxa" w:w="2160"/>
          </w:tcPr>
          <w:p>
            <w:r>
              <w:t>Bảo mật</w:t>
            </w:r>
          </w:p>
        </w:tc>
        <w:tc>
          <w:tcPr>
            <w:tcW w:type="dxa" w:w="2160"/>
          </w:tcPr>
          <w:p>
            <w:r>
              <w:t>Log truy cập, báo cáo rà soát</w:t>
            </w:r>
          </w:p>
        </w:tc>
        <w:tc>
          <w:tcPr>
            <w:tcW w:type="dxa" w:w="2160"/>
          </w:tcPr>
          <w:p>
            <w:r>
              <w:t>400 ngày hoặc dài hơn theo điều tra</w:t>
            </w:r>
          </w:p>
        </w:tc>
        <w:tc>
          <w:tcPr>
            <w:tcW w:type="dxa" w:w="2160"/>
          </w:tcPr>
          <w:p>
            <w:r>
              <w:t>SIEM và kho bằng chứng</w:t>
            </w:r>
          </w:p>
        </w:tc>
      </w:tr>
      <w:tr>
        <w:tc>
          <w:tcPr>
            <w:tcW w:type="dxa" w:w="2160"/>
          </w:tcPr>
          <w:p>
            <w:r>
              <w:t>Nhân sự</w:t>
            </w:r>
          </w:p>
        </w:tc>
        <w:tc>
          <w:tcPr>
            <w:tcW w:type="dxa" w:w="2160"/>
          </w:tcPr>
          <w:p>
            <w:r>
              <w:t>Hợp đồng, quyết định, biên bản</w:t>
            </w:r>
          </w:p>
        </w:tc>
        <w:tc>
          <w:tcPr>
            <w:tcW w:type="dxa" w:w="2160"/>
          </w:tcPr>
          <w:p>
            <w:r>
              <w:t>10 năm sau khi nghỉ việc</w:t>
            </w:r>
          </w:p>
        </w:tc>
        <w:tc>
          <w:tcPr>
            <w:tcW w:type="dxa" w:w="2160"/>
          </w:tcPr>
          <w:p>
            <w:r>
              <w:t>HRIS</w:t>
            </w:r>
          </w:p>
        </w:tc>
      </w:tr>
      <w:tr>
        <w:tc>
          <w:tcPr>
            <w:tcW w:type="dxa" w:w="2160"/>
          </w:tcPr>
          <w:p>
            <w:r>
              <w:t>Ngoại lệ</w:t>
            </w:r>
          </w:p>
        </w:tc>
        <w:tc>
          <w:tcPr>
            <w:tcW w:type="dxa" w:w="2160"/>
          </w:tcPr>
          <w:p>
            <w:r>
              <w:t>Mẫu yêu cầu, phê duyệt, biện pháp giảm thiểu</w:t>
            </w:r>
          </w:p>
        </w:tc>
        <w:tc>
          <w:tcPr>
            <w:tcW w:type="dxa" w:w="2160"/>
          </w:tcPr>
          <w:p>
            <w:r>
              <w:t>3 năm sau ngày đóng</w:t>
            </w:r>
          </w:p>
        </w:tc>
        <w:tc>
          <w:tcPr>
            <w:tcW w:type="dxa" w:w="2160"/>
          </w:tcPr>
          <w:p>
            <w:r>
              <w:t>Register ngoại lệ</w:t>
            </w:r>
          </w:p>
        </w:tc>
      </w:tr>
    </w:tbl>
    <w:p>
      <w:r>
        <w:t>Bằng chứng phải được đặt tên theo quy ước YYYYMMDD_DONVI_LOAIHOSO_MATHAMCHIEU. Không lưu bằng chứng chính thức trong thư mục cá nhân nếu tài liệu có chứa dữ liệu mật, dữ liệu cá nhân hoặc thông tin thương mại chưa công bố.</w:t>
      </w:r>
    </w:p>
    <w:p>
      <w:pPr>
        <w:pStyle w:val="Heading2"/>
      </w:pPr>
      <w:r>
        <w:t>8. Tình huống nghiệp vụ</w:t>
      </w:r>
    </w:p>
    <w:p>
      <w:pPr>
        <w:pStyle w:val="Heading3"/>
      </w:pPr>
      <w:r>
        <w:t>8.1 Tình huống war-room</w:t>
      </w:r>
    </w:p>
    <w:p>
      <w:r>
        <w:t>Một nhóm nghiệp vụ cần xử lý vấn đề liên quan đến war-room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 Tình huống thông báo khách hàng</w:t>
      </w:r>
    </w:p>
    <w:p>
      <w:r>
        <w:t>Một nhóm nghiệp vụ cần xử lý vấn đề liên quan đến thông báo khách hàng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8.3 Tình huống postmortem</w:t>
      </w:r>
    </w:p>
    <w:p>
      <w:r>
        <w:t>Một nhóm nghiệp vụ cần xử lý vấn đề liên quan đến postmortem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8.4 Tình huống bằng chứng</w:t>
      </w:r>
    </w:p>
    <w:p>
      <w:r>
        <w:t>Một nhóm nghiệp vụ cần xử lý vấn đề liên quan đến bằng chứng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8.5 Tình huống khôi phục dịch vụ</w:t>
      </w:r>
    </w:p>
    <w:p>
      <w:r>
        <w:t>Một nhóm nghiệp vụ cần xử lý vấn đề liên quan đến khôi phục dịch vụ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8.6 Tình huống SEV-1</w:t>
      </w:r>
    </w:p>
    <w:p>
      <w:r>
        <w:t>Một nhóm nghiệp vụ cần xử lý vấn đề liên quan đến SEV-1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8.7 Tình huống war-room</w:t>
      </w:r>
    </w:p>
    <w:p>
      <w:r>
        <w:t>Một nhóm nghiệp vụ cần xử lý vấn đề liên quan đến war-room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8.8 Tình huống thông báo khách hàng</w:t>
      </w:r>
    </w:p>
    <w:p>
      <w:r>
        <w:t>Một nhóm nghiệp vụ cần xử lý vấn đề liên quan đến thông báo khách hàng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8.9 Tình huống postmortem</w:t>
      </w:r>
    </w:p>
    <w:p>
      <w:r>
        <w:t>Một nhóm nghiệp vụ cần xử lý vấn đề liên quan đến postmortem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8.10 Tình huống bằng chứng</w:t>
      </w:r>
    </w:p>
    <w:p>
      <w:r>
        <w:t>Một nhóm nghiệp vụ cần xử lý vấn đề liên quan đến bằng chứng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8.11 Tình huống khôi phục dịch vụ</w:t>
      </w:r>
    </w:p>
    <w:p>
      <w:r>
        <w:t>Một nhóm nghiệp vụ cần xử lý vấn đề liên quan đến khôi phục dịch vụ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8.12 Tình huống SEV-1</w:t>
      </w:r>
    </w:p>
    <w:p>
      <w:r>
        <w:t>Một nhóm nghiệp vụ cần xử lý vấn đề liên quan đến SEV-1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8.13 Tình huống war-room</w:t>
      </w:r>
    </w:p>
    <w:p>
      <w:r>
        <w:t>Một nhóm nghiệp vụ cần xử lý vấn đề liên quan đến war-room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8.14 Tình huống thông báo khách hàng</w:t>
      </w:r>
    </w:p>
    <w:p>
      <w:r>
        <w:t>Một nhóm nghiệp vụ cần xử lý vấn đề liên quan đến thông báo khách hàng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8.15 Tình huống postmortem</w:t>
      </w:r>
    </w:p>
    <w:p>
      <w:r>
        <w:t>Một nhóm nghiệp vụ cần xử lý vấn đề liên quan đến postmortem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8.16 Tình huống bằng chứng</w:t>
      </w:r>
    </w:p>
    <w:p>
      <w:r>
        <w:t>Một nhóm nghiệp vụ cần xử lý vấn đề liên quan đến bằng chứng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8.17 Tình huống khôi phục dịch vụ</w:t>
      </w:r>
    </w:p>
    <w:p>
      <w:r>
        <w:t>Một nhóm nghiệp vụ cần xử lý vấn đề liên quan đến khôi phục dịch vụ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8.18 Tình huống SEV-1</w:t>
      </w:r>
    </w:p>
    <w:p>
      <w:r>
        <w:t>Một nhóm nghiệp vụ cần xử lý vấn đề liên quan đến SEV-1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8.19 Tình huống war-room</w:t>
      </w:r>
    </w:p>
    <w:p>
      <w:r>
        <w:t>Một nhóm nghiệp vụ cần xử lý vấn đề liên quan đến war-room trong khi thời hạn hoàn tất chỉ còn 2 ngày làm việc. Quản lý trực tiếp được phép phê duyệt bước chuẩn bị, nhưng không được bỏ qua yêu cầu bằng chứng. Nếu tình huống có liên quan đến tài liệu data_privacy_policy.md,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8.20 Tình huống thông báo khách hàng</w:t>
      </w:r>
    </w:p>
    <w:p>
      <w:r>
        <w:t>Một nhóm nghiệp vụ cần xử lý vấn đề liên quan đến thông báo khách hàng trong khi thời hạn hoàn tất chỉ còn 2 ngày làm việc. Quản lý trực tiếp được phép phê duyệt bước chuẩn bị, nhưng không được bỏ qua yêu cầu bằng chứng. Nếu tình huống có liên quan đến tài liệu it_security_policy.md,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2"/>
      </w:pPr>
      <w:r>
        <w:t>9. FAQ</w:t>
      </w:r>
    </w:p>
    <w:p>
      <w:r>
        <w:t>Hỏi 1: Tôi phải làm gì nếu quy định về war-room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2: Tôi phải làm gì nếu quy định về thông báo khách hàng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3: Tôi phải làm gì nếu quy định về postmortem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4: Tôi phải làm gì nếu quy định về bằng chứng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5: Tôi phải làm gì nếu quy định về khôi phục dịch vụ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6: Tôi phải làm gì nếu quy định về SEV-1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7: Tôi phải làm gì nếu quy định về war-room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8: Tôi phải làm gì nếu quy định về thông báo khách hàng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9: Tôi phải làm gì nếu quy định về postmortem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10: Tôi phải làm gì nếu quy định về bằng chứng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11: Tôi phải làm gì nếu quy định về khôi phục dịch vụ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12: Tôi phải làm gì nếu quy định về SEV-1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13: Tôi phải làm gì nếu quy định về war-room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14: Tôi phải làm gì nếu quy định về thông báo khách hàng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15: Tôi phải làm gì nếu quy định về postmortem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16: Tôi phải làm gì nếu quy định về bằng chứng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17: Tôi phải làm gì nếu quy định về khôi phục dịch vụ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18: Tôi phải làm gì nếu quy định về SEV-1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19: Tôi phải làm gì nếu quy định về war-room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20: Tôi phải làm gì nếu quy định về thông báo khách hàng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21: Tôi phải làm gì nếu quy định về postmortem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22: Tôi phải làm gì nếu quy định về bằng chứng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23: Tôi phải làm gì nếu quy định về khôi phục dịch vụ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24: Tôi phải làm gì nếu quy định về SEV-1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r>
        <w:t>Hỏi 25: Tôi phải làm gì nếu quy định về war-room có vẻ không phù hợp với tình huống thực tế?</w:t>
      </w:r>
    </w:p>
    <w:p>
      <w:r>
        <w:t>Trước tiên hãy kiểm tra ngày hiệu lực, tài liệu liên quan và chủ sở hữu quy trình. Nếu vẫn chưa rõ, tạo yêu cầu tư vấn cho Trung tâm Vận hành và ghi rõ điều khoản đang áp dụng. Không tự ý bỏ qua quy định chỉ vì đã từng có trường hợp tương tự.</w:t>
      </w:r>
    </w:p>
    <w:p>
      <w:pPr>
        <w:pStyle w:val="Heading2"/>
      </w:pPr>
      <w:r>
        <w:t>10. Phụ lục</w:t>
      </w:r>
    </w:p>
    <w:p>
      <w:pPr>
        <w:pStyle w:val="Heading3"/>
      </w:pPr>
      <w:r>
        <w:t>Phụ lục A: Checklist kiểm tra trước khi phê duyệt</w:t>
      </w:r>
    </w:p>
    <w:p>
      <w:pPr>
        <w:pStyle w:val="ListBullet"/>
      </w:pPr>
      <w:r>
        <w:t>- Đã xác định đúng chủ sở hữu quy trình.</w:t>
      </w:r>
    </w:p>
    <w:p>
      <w:pPr>
        <w:pStyle w:val="ListBullet"/>
      </w:pPr>
      <w:r>
        <w:t>- Đã kiểm tra ngưỡng tiền, cấp bậc hoặc mức độ rủi ro.</w:t>
      </w:r>
    </w:p>
    <w:p>
      <w:pPr>
        <w:pStyle w:val="ListBullet"/>
      </w:pPr>
      <w:r>
        <w:t>- Đã có bằng chứng nguồn từ hệ thống chính thức.</w:t>
      </w:r>
    </w:p>
    <w:p>
      <w:pPr>
        <w:pStyle w:val="ListBullet"/>
      </w:pPr>
      <w:r>
        <w:t>- Đã ghi nhận ngoại lệ nếu không đáp ứng điều kiện chuẩn.</w:t>
      </w:r>
    </w:p>
    <w:p>
      <w:pPr>
        <w:pStyle w:val="ListBullet"/>
      </w:pPr>
      <w:r>
        <w:t>- Đã thông báo các bên liên quan nếu quyết định ảnh hưởng khách hàng, dữ liệu cá nhân hoặc chi phí.</w:t>
      </w:r>
    </w:p>
    <w:p>
      <w:pPr>
        <w:pStyle w:val="Heading3"/>
      </w:pPr>
      <w:r>
        <w:t>Phụ lục B: Dữ liệu giả lập phục vụ RAG</w:t>
      </w:r>
    </w:p>
    <w:p>
      <w:r>
        <w:t>Tài liệu này được tạo để kiểm thử RAG. Các tên người, phòng ban, ngưỡng và ngày hiệu lực là dữ liệu giả lập. Khi dùng để benchmark, nên giữ nguyên anchor HTML, mã tài liệu và bảng để kiểm tra chất lượng parser.</w:t>
      </w:r>
    </w:p>
    <w:p>
      <w:pPr>
        <w:pStyle w:val="Heading3"/>
      </w:pPr>
      <w:r>
        <w:t>Phụ lục C: Tham chiếu chéo</w:t>
      </w:r>
    </w:p>
    <w:p>
      <w:pPr>
        <w:pStyle w:val="ListBullet"/>
      </w:pPr>
      <w:r>
        <w:t>- Xem thêm it_security_policy.md khi câu hỏi có liên quan đến quy trình hoặc ngoại lệ ngoài phạm vi tài liệu này.</w:t>
      </w:r>
    </w:p>
    <w:p>
      <w:pPr>
        <w:pStyle w:val="ListBullet"/>
      </w:pPr>
      <w:r>
        <w:t>- Xem thêm data_privacy_policy.md khi câu hỏi có liên quan đến quy trình hoặc ngoại lệ ngoài phạm vi tài liệu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