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đào tạo và phát triển năng lực</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APD-HR-012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Giám đốc Nhân sự</w:t>
            </w:r>
          </w:p>
        </w:tc>
      </w:tr>
      <w:tr>
        <w:tc>
          <w:tcPr>
            <w:tcW w:type="dxa" w:w="4320"/>
          </w:tcPr>
          <w:p>
            <w:r>
              <w:t>Miền chính sách</w:t>
            </w:r>
          </w:p>
        </w:tc>
        <w:tc>
          <w:tcPr>
            <w:tcW w:type="dxa" w:w="4320"/>
          </w:tcPr>
          <w:p>
            <w:r>
              <w:t>people</w:t>
            </w:r>
          </w:p>
        </w:tc>
      </w:tr>
      <w:tr>
        <w:tc>
          <w:tcPr>
            <w:tcW w:type="dxa" w:w="4320"/>
          </w:tcPr>
          <w:p>
            <w:r>
              <w:t>Tài liệu liên quan</w:t>
            </w:r>
          </w:p>
        </w:tc>
        <w:tc>
          <w:tcPr>
            <w:tcW w:type="dxa" w:w="4320"/>
          </w:tcPr>
          <w:p>
            <w:r>
              <w:t>employee_handbook.md, remote_work_policy.md, data_privacy_policy.md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đào tạo và phát triển năng lực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people</w:t>
            </w:r>
          </w:p>
        </w:tc>
        <w:tc>
          <w:tcPr>
            <w:tcW w:type="dxa" w:w="2880"/>
          </w:tcPr>
          <w:p>
            <w:r>
              <w:t>annual_leave</w:t>
            </w:r>
          </w:p>
        </w:tc>
        <w:tc>
          <w:tcPr>
            <w:tcW w:type="dxa" w:w="2880"/>
          </w:tcPr>
          <w:p>
            <w:r>
              <w:t>Nhân viên chính thức có 14 ngày nghỉ phép hưởng lương mỗi năm; cấp Manager trở lên có 16 ngày.</w:t>
            </w:r>
          </w:p>
        </w:tc>
      </w:tr>
      <w:tr>
        <w:tc>
          <w:tcPr>
            <w:tcW w:type="dxa" w:w="2880"/>
          </w:tcPr>
          <w:p>
            <w:r>
              <w:t>people</w:t>
            </w:r>
          </w:p>
        </w:tc>
        <w:tc>
          <w:tcPr>
            <w:tcW w:type="dxa" w:w="2880"/>
          </w:tcPr>
          <w:p>
            <w:r>
              <w:t>overtime</w:t>
            </w:r>
          </w:p>
        </w:tc>
        <w:tc>
          <w:tcPr>
            <w:tcW w:type="dxa" w:w="2880"/>
          </w:tcPr>
          <w:p>
            <w:r>
              <w:t>Làm thêm giờ không vượt quá 40 giờ mỗi tháng nếu không có phê duyệt của Giám đốc Khối và HRBP.</w:t>
            </w:r>
          </w:p>
        </w:tc>
      </w:tr>
      <w:tr>
        <w:tc>
          <w:tcPr>
            <w:tcW w:type="dxa" w:w="2880"/>
          </w:tcPr>
          <w:p>
            <w:r>
              <w:t>people</w:t>
            </w:r>
          </w:p>
        </w:tc>
        <w:tc>
          <w:tcPr>
            <w:tcW w:type="dxa" w:w="2880"/>
          </w:tcPr>
          <w:p>
            <w:r>
              <w:t>hybrid</w:t>
            </w:r>
          </w:p>
        </w:tc>
        <w:tc>
          <w:tcPr>
            <w:tcW w:type="dxa" w:w="2880"/>
          </w:tcPr>
          <w:p>
            <w:r>
              <w:t>Nhân viên hybrid có mặt tại văn phòng tối thiểu 2 ngày mỗi tuần, trừ ngoại lệ HRBP phê duyệt.</w:t>
            </w:r>
          </w:p>
        </w:tc>
      </w:tr>
      <w:tr>
        <w:tc>
          <w:tcPr>
            <w:tcW w:type="dxa" w:w="2880"/>
          </w:tcPr>
          <w:p>
            <w:r>
              <w:t>people</w:t>
            </w:r>
          </w:p>
        </w:tc>
        <w:tc>
          <w:tcPr>
            <w:tcW w:type="dxa" w:w="2880"/>
          </w:tcPr>
          <w:p>
            <w:r>
              <w:t>remote_abroad</w:t>
            </w:r>
          </w:p>
        </w:tc>
        <w:tc>
          <w:tcPr>
            <w:tcW w:type="dxa" w:w="2880"/>
          </w:tcPr>
          <w:p>
            <w:r>
              <w:t>Làm việc từ nước ngoài quá 10 ngày làm việc liên tục cần phê duyệt của HR, Legal và quản lý cấp Director.</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Learning_Development_Policy Annual_Leave</w:t>
      </w:r>
    </w:p>
    <w:p>
      <w:r>
        <w:t>Quy định trọng yếu: Nhân viên chính thức có 14 ngày nghỉ phép hưởng lương mỗi năm; cấp Manager trở lên có 16 ngày.</w:t>
      </w:r>
    </w:p>
    <w:p>
      <w:r>
        <w:t>Đối với chủ đề vai trò chịu trách nhiệm,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Learning_Development_Policy Overtime</w:t>
      </w:r>
    </w:p>
    <w:p>
      <w:r>
        <w:t>Quy định trọng yếu: Làm thêm giờ không vượt quá 40 giờ mỗi tháng nếu không có phê duyệt của Giám đốc Khối và HRBP.</w:t>
      </w:r>
    </w:p>
    <w:p>
      <w:r>
        <w:t>Đối với chủ đề quy trình phê duyệt,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Learning_Development_Policy Hybrid</w:t>
      </w:r>
    </w:p>
    <w:p>
      <w:r>
        <w:t>Quy định trọng yếu: Nhân viên hybrid có mặt tại văn phòng tối thiểu 2 ngày mỗi tuần, trừ ngoại lệ HRBP phê duyệt.</w:t>
      </w:r>
    </w:p>
    <w:p>
      <w:r>
        <w:t>Đối với chủ đề bằng chứng kiểm soát,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Learning_Development_Policy Remote_Abroad</w:t>
      </w:r>
    </w:p>
    <w:p>
      <w:r>
        <w:t>Quy định trọng yếu: Làm việc từ nước ngoài quá 10 ngày làm việc liên tục cần phê duyệt của HR, Legal và quản lý cấp Director.</w:t>
      </w:r>
    </w:p>
    <w:p>
      <w:r>
        <w:t>Đối với chủ đề ngoại lệ,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Learning_Development_Policy Evidence</w:t>
      </w:r>
    </w:p>
    <w:p>
      <w:r>
        <w:t>Quy định trọng yếu: Bằng chứng phê duyệt, workflow, chữ ký điện tử và email chính thức lưu tối thiểu 7 năm.</w:t>
      </w:r>
    </w:p>
    <w:p>
      <w:r>
        <w:t>Đối với chủ đề báo cáo định kỳ,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Learning_Development_Policy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đào tạo và phát triển năng lực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đào tạo và phát triển năng lực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đào tạo và phát triển năng lực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đào tạo và phát triển năng lực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đào tạo và phát triển năng lực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đào tạo và phát triển năng lực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Nhân sự</w:t>
            </w:r>
          </w:p>
        </w:tc>
        <w:tc>
          <w:tcPr>
            <w:tcW w:type="dxa" w:w="1728"/>
          </w:tcPr>
          <w:p>
            <w:r>
              <w:t>Giám đốc Nhân sự</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Nhân sự</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Nhân sự</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Nhân sự</w:t>
            </w:r>
          </w:p>
        </w:tc>
        <w:tc>
          <w:tcPr>
            <w:tcW w:type="dxa" w:w="1728"/>
          </w:tcPr>
          <w:p>
            <w:r>
              <w:t>Phòng Nhân sự</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data_privacy_policy.md.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employee_handbook.md.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APD-HR-012,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