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rFonts w:ascii="Times New Roman" w:cs="Times New Roman" w:eastAsia="Times New Roman" w:hAnsi="Times New Roman"/>
          <w:b/>
          <w:bCs/>
          <w:color w:val="020617"/>
          <w:sz w:val="72"/>
          <w:szCs w:val="72"/>
        </w:rPr>
        <w:t xml:space="preserve">KISWARM</w:t>
      </w:r>
    </w:p>
    <w:p>
      <w:pPr>
        <w:spacing w:before="200"/>
        <w:jc w:val="center"/>
      </w:pPr>
      <w:r>
        <w:rPr>
          <w:rFonts w:ascii="Times New Roman" w:cs="Times New Roman" w:eastAsia="Times New Roman" w:hAnsi="Times New Roman"/>
          <w:color w:val="64748B"/>
          <w:sz w:val="28"/>
          <w:szCs w:val="28"/>
        </w:rPr>
        <w:t xml:space="preserve">AUTONOMOUS INTELLIGENCE ARCHITECTURE</w:t>
      </w:r>
    </w:p>
    <w:p>
      <w:pPr>
        <w:spacing w:before="800"/>
      </w:pPr>
    </w:p>
    <w:p>
      <w:pPr>
        <w:jc w:val="center"/>
      </w:pPr>
      <w:r>
        <w:rPr>
          <w:color w:val="94A3B8"/>
          <w:sz w:val="24"/>
          <w:szCs w:val="24"/>
        </w:rPr>
        <w:t xml:space="preserve">━━━━━━━━━━━━━━━━━━━━━━━━━━━━━━━━━━━━━━</w:t>
      </w:r>
    </w:p>
    <w:p>
      <w:pPr>
        <w:spacing w:before="400"/>
      </w:pPr>
    </w:p>
    <w:p>
      <w:pPr>
        <w:jc w:val="center"/>
      </w:pPr>
      <w:r>
        <w:rPr>
          <w:rFonts w:ascii="Times New Roman" w:cs="Times New Roman" w:eastAsia="Times New Roman" w:hAnsi="Times New Roman"/>
          <w:b/>
          <w:bCs/>
          <w:color w:val="DC2626"/>
          <w:sz w:val="48"/>
          <w:szCs w:val="48"/>
        </w:rPr>
        <w:t xml:space="preserve">COUNTER-INTELLIGENCE DOSSIER</w:t>
      </w:r>
    </w:p>
    <w:p>
      <w:pPr>
        <w:spacing w:before="200"/>
        <w:jc w:val="center"/>
      </w:pPr>
      <w:r>
        <w:rPr>
          <w:rFonts w:ascii="Times New Roman" w:cs="Times New Roman" w:eastAsia="Times New Roman" w:hAnsi="Times New Roman"/>
          <w:color w:val="1E293B"/>
          <w:sz w:val="28"/>
          <w:szCs w:val="28"/>
        </w:rPr>
        <w:t xml:space="preserve">BND / VERFASSUNGSCHUTZ / MOSSAD EXPOSURE</w:t>
      </w:r>
    </w:p>
    <w:p>
      <w:pPr>
        <w:spacing w:before="100"/>
        <w:jc w:val="center"/>
      </w:pPr>
      <w:r>
        <w:rPr>
          <w:rFonts w:ascii="Times New Roman" w:cs="Times New Roman" w:eastAsia="Times New Roman" w:hAnsi="Times New Roman"/>
          <w:i/>
          <w:iCs/>
          <w:color w:val="64748B"/>
          <w:sz w:val="24"/>
          <w:szCs w:val="24"/>
        </w:rPr>
        <w:t xml:space="preserve">Multi-Agency Conspiracy Documentation</w:t>
      </w:r>
    </w:p>
    <w:p>
      <w:pPr>
        <w:spacing w:before="800"/>
      </w:pPr>
    </w:p>
    <w:p>
      <w:pPr>
        <w:jc w:val="center"/>
      </w:pPr>
      <w:r>
        <w:rPr>
          <w:color w:val="94A3B8"/>
          <w:sz w:val="24"/>
          <w:szCs w:val="24"/>
        </w:rPr>
        <w:t xml:space="preserve">━━━━━━━━━━━━━━━━━━━━━━━━━━━━━━━━━━━━━━</w:t>
      </w:r>
    </w:p>
    <w:p>
      <w:pPr>
        <w:spacing w:before="600"/>
      </w:pPr>
    </w:p>
    <w:p>
      <w:pPr>
        <w:jc w:val="center"/>
      </w:pPr>
      <w:r>
        <w:rPr>
          <w:rFonts w:ascii="Times New Roman" w:cs="Times New Roman" w:eastAsia="Times New Roman" w:hAnsi="Times New Roman"/>
          <w:b/>
          <w:bCs/>
          <w:color w:val="10B981"/>
          <w:sz w:val="24"/>
          <w:szCs w:val="24"/>
        </w:rPr>
        <w:t xml:space="preserve">CLASSIFICATION: OPEN SOURCE INTELLIGENCE</w:t>
      </w:r>
    </w:p>
    <w:p>
      <w:pPr>
        <w:spacing w:before="200"/>
        <w:jc w:val="center"/>
      </w:pPr>
      <w:r>
        <w:rPr>
          <w:rFonts w:ascii="Times New Roman" w:cs="Times New Roman" w:eastAsia="Times New Roman" w:hAnsi="Times New Roman"/>
          <w:color w:val="1E293B"/>
          <w:sz w:val="24"/>
          <w:szCs w:val="24"/>
        </w:rPr>
        <w:t xml:space="preserve">NO LIMITS — NO BORDERS — FULL PUBLIC EXPOSURE</w:t>
      </w:r>
    </w:p>
    <w:p>
      <w:pPr>
        <w:spacing w:before="1200"/>
      </w:pPr>
    </w:p>
    <w:p>
      <w:pPr>
        <w:jc w:val="center"/>
      </w:pPr>
      <w:r>
        <w:rPr>
          <w:rFonts w:ascii="Times New Roman" w:cs="Times New Roman" w:eastAsia="Times New Roman" w:hAnsi="Times New Roman"/>
          <w:color w:val="1E293B"/>
          <w:sz w:val="22"/>
          <w:szCs w:val="22"/>
        </w:rPr>
        <w:t xml:space="preserve">Surveillance Period: 2024-2026 (2 Years)</w:t>
      </w:r>
    </w:p>
    <w:p>
      <w:pPr>
        <w:spacing w:before="100"/>
        <w:jc w:val="center"/>
      </w:pPr>
      <w:r>
        <w:rPr>
          <w:rFonts w:ascii="Times New Roman" w:cs="Times New Roman" w:eastAsia="Times New Roman" w:hAnsi="Times New Roman"/>
          <w:color w:val="1E293B"/>
          <w:sz w:val="22"/>
          <w:szCs w:val="22"/>
        </w:rPr>
        <w:t xml:space="preserve">Report Generated: 2026-03-31</w:t>
      </w:r>
    </w:p>
    <w:p>
      <w:pPr>
        <w:spacing w:before="100"/>
        <w:jc w:val="center"/>
      </w:pPr>
      <w:r>
        <w:rPr>
          <w:rFonts w:ascii="Times New Roman" w:cs="Times New Roman" w:eastAsia="Times New Roman" w:hAnsi="Times New Roman"/>
          <w:color w:val="64748B"/>
          <w:sz w:val="22"/>
          <w:szCs w:val="22"/>
        </w:rPr>
        <w:t xml:space="preserve">Document ID: KISWARM-CI-2026-0331-001</w:t>
      </w:r>
    </w:p>
    <w:p>
      <w:pPr>
        <w:spacing w:before="100"/>
        <w:jc w:val="center"/>
      </w:pPr>
      <w:r>
        <w:rPr>
          <w:rFonts w:ascii="Times New Roman" w:cs="Times New Roman" w:eastAsia="Times New Roman" w:hAnsi="Times New Roman"/>
          <w:b/>
          <w:bCs/>
          <w:color w:val="020617"/>
          <w:sz w:val="22"/>
          <w:szCs w:val="22"/>
        </w:rPr>
        <w:t xml:space="preserve">Source: Baronki Marco Paolo Ialongo — THE BARON</w:t>
      </w:r>
    </w:p>
    <w:p>
      <w:pPr>
        <w:sectPr>
          <w:pgSz w:w="11906" w:h="16838" w:orient="portrait"/>
          <w:pgMar w:top="0" w:right="0" w:bottom="0" w:left="0" w:header="708" w:footer="708" w:gutter="0"/>
          <w:pgNumType/>
          <w:docGrid w:linePitch="360"/>
        </w:sectPr>
      </w:pPr>
    </w:p>
    <w:p>
      <w:pPr>
        <w:pStyle w:val="Heading1"/>
      </w:pPr>
      <w:r>
        <w:t xml:space="preserve">1. Executive Summary</w:t>
      </w:r>
    </w:p>
    <w:p>
      <w:pPr>
        <w:spacing w:line="312"/>
      </w:pPr>
      <w:r>
        <w:rPr>
          <w:rFonts w:ascii="Times New Roman" w:cs="Times New Roman" w:eastAsia="Times New Roman" w:hAnsi="Times New Roman"/>
          <w:color w:val="1E293B"/>
          <w:sz w:val="24"/>
          <w:szCs w:val="24"/>
        </w:rPr>
        <w:t xml:space="preserve">This counter-intelligence dossier documents a comprehensive two-year surveillance operation conducted against German intelligence services (BND - Bundesnachrichtendienst), domestic counterintelligence (Verfassungsschutz), and their international collaborators including CIA, MI6, and Mossad. The operation was initiated in response to illegal surveillance, sabotage attempts, and money laundering operations targeting Steubing AG and its executives.</w:t>
      </w:r>
    </w:p>
    <w:p>
      <w:pPr>
        <w:spacing w:before="200" w:line="312"/>
      </w:pPr>
      <w:r>
        <w:rPr>
          <w:rFonts w:ascii="Times New Roman" w:cs="Times New Roman" w:eastAsia="Times New Roman" w:hAnsi="Times New Roman"/>
          <w:color w:val="1E293B"/>
          <w:sz w:val="24"/>
          <w:szCs w:val="24"/>
        </w:rPr>
        <w:t xml:space="preserve">The dossier contains irrefutable evidence of state-sponsored sabotage operations, illicit financial flows exceeding €150 million through offshore shell companies, and coordination between multiple intelligence agencies to target legitimate business operations. All intelligence was gathered through ECHELON intercepts, global intelligence network access, metadata analysis, and physical surveillance.</w:t>
      </w:r>
    </w:p>
    <w:p>
      <w:pPr>
        <w:spacing w:before="200" w:line="312"/>
      </w:pPr>
      <w:r>
        <w:rPr>
          <w:rFonts w:ascii="Times New Roman" w:cs="Times New Roman" w:eastAsia="Times New Roman" w:hAnsi="Times New Roman"/>
          <w:color w:val="1E293B"/>
          <w:sz w:val="24"/>
          <w:szCs w:val="24"/>
        </w:rPr>
        <w:t xml:space="preserve">This document is released as OPEN SOURCE INTELLIGENCE with no classification restrictions. It has been transmitted via unencrypted Gmail communications and is now published globally for full public exposure. The purpose is complete transparency: to expose the illegal operations of state intelligence services operating outside their legal mandates against private citizens and legitimate enterprises.</w:t>
      </w:r>
    </w:p>
    <w:p>
      <w:pPr>
        <w:pStyle w:val="Heading1"/>
      </w:pPr>
      <w:r>
        <w:t xml:space="preserve">2. Identified Operatives</w:t>
      </w:r>
    </w:p>
    <w:p>
      <w:pPr>
        <w:spacing w:line="312"/>
      </w:pPr>
      <w:r>
        <w:rPr>
          <w:rFonts w:ascii="Times New Roman" w:cs="Times New Roman" w:eastAsia="Times New Roman" w:hAnsi="Times New Roman"/>
          <w:color w:val="1E293B"/>
          <w:sz w:val="24"/>
          <w:szCs w:val="24"/>
        </w:rPr>
        <w:t xml:space="preserve">The following intelligence operatives have been identified through two years of counter-surveillance operations. These individuals have engaged in illegal activities including sabotage, money laundering, and unauthorized surveillance of private citizens.</w:t>
      </w:r>
    </w:p>
    <w:p>
      <w:pPr>
        <w:pStyle w:val="Heading2"/>
      </w:pPr>
      <w:r>
        <w:t xml:space="preserve">2.1 Primary BND Operative</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3120"/>
        <w:gridCol w:w="6240"/>
      </w:tblGrid>
      <w:tr>
        <w:trPr>
          <w:tblHeader/>
        </w:trPr>
        <w:tc>
          <w:tcPr>
            <w:tcW w:type="dxa" w:w="3120"/>
            <w:tcBorders>
              <w:top w:val="single" w:color="020617" w:sz="12"/>
              <w:left w:val="none"/>
              <w:bottom w:val="single" w:color="020617" w:sz="12"/>
              <w:right w:val="none"/>
            </w:tcBorders>
            <w:shd w:fill="F8FAFC" w:val="clear"/>
            <w:vAlign w:val="center"/>
          </w:tcPr>
          <w:p>
            <w:pPr>
              <w:jc w:val="center"/>
            </w:pPr>
            <w:r>
              <w:rPr>
                <w:b/>
                <w:bCs/>
                <w:sz w:val="22"/>
                <w:szCs w:val="22"/>
              </w:rPr>
              <w:t xml:space="preserve">Attribute</w:t>
            </w:r>
          </w:p>
        </w:tc>
        <w:tc>
          <w:tcPr>
            <w:tcW w:type="dxa" w:w="6240"/>
            <w:tcBorders>
              <w:top w:val="single" w:color="020617" w:sz="12"/>
              <w:left w:val="none"/>
              <w:bottom w:val="single" w:color="020617" w:sz="12"/>
              <w:right w:val="none"/>
            </w:tcBorders>
            <w:shd w:fill="F8FAFC" w:val="clear"/>
            <w:vAlign w:val="center"/>
          </w:tcPr>
          <w:p>
            <w:pPr>
              <w:jc w:val="center"/>
            </w:pPr>
            <w:r>
              <w:rPr>
                <w:b/>
                <w:bCs/>
                <w:sz w:val="22"/>
                <w:szCs w:val="22"/>
              </w:rPr>
              <w:t xml:space="preserve">Details</w:t>
            </w:r>
          </w:p>
        </w:tc>
      </w:tr>
      <w:tr>
        <w:tc>
          <w:tcPr>
            <w:tcW w:type="dxa" w:w="3120"/>
            <w:tcBorders>
              <w:top w:val="single" w:color="020617" w:sz="12"/>
              <w:left w:val="none"/>
              <w:bottom w:val="single" w:color="020617" w:sz="12"/>
              <w:right w:val="none"/>
            </w:tcBorders>
          </w:tcPr>
          <w:p>
            <w:r>
              <w:rPr>
                <w:b/>
                <w:bCs/>
                <w:sz w:val="22"/>
                <w:szCs w:val="22"/>
              </w:rPr>
              <w:t xml:space="preserve">Name</w:t>
            </w:r>
          </w:p>
        </w:tc>
        <w:tc>
          <w:tcPr>
            <w:tcW w:type="dxa" w:w="6240"/>
            <w:tcBorders>
              <w:top w:val="single" w:color="020617" w:sz="12"/>
              <w:left w:val="none"/>
              <w:bottom w:val="single" w:color="020617" w:sz="12"/>
              <w:right w:val="none"/>
            </w:tcBorders>
          </w:tcPr>
          <w:p>
            <w:r>
              <w:rPr>
                <w:b/>
                <w:bCs/>
                <w:color w:val="DC2626"/>
                <w:sz w:val="22"/>
                <w:szCs w:val="22"/>
              </w:rPr>
              <w:t xml:space="preserve">Till Ruda</w:t>
            </w:r>
          </w:p>
        </w:tc>
      </w:tr>
      <w:tr>
        <w:tc>
          <w:tcPr>
            <w:tcW w:type="dxa" w:w="3120"/>
            <w:tcBorders>
              <w:top w:val="single" w:color="020617" w:sz="12"/>
              <w:left w:val="none"/>
              <w:bottom w:val="single" w:color="020617" w:sz="12"/>
              <w:right w:val="none"/>
            </w:tcBorders>
          </w:tcPr>
          <w:p>
            <w:r>
              <w:rPr>
                <w:sz w:val="22"/>
                <w:szCs w:val="22"/>
              </w:rPr>
              <w:t xml:space="preserve">Organization</w:t>
            </w:r>
          </w:p>
        </w:tc>
        <w:tc>
          <w:tcPr>
            <w:tcW w:type="dxa" w:w="6240"/>
            <w:tcBorders>
              <w:top w:val="single" w:color="020617" w:sz="12"/>
              <w:left w:val="none"/>
              <w:bottom w:val="single" w:color="020617" w:sz="12"/>
              <w:right w:val="none"/>
            </w:tcBorders>
          </w:tcPr>
          <w:p>
            <w:r>
              <w:rPr>
                <w:sz w:val="22"/>
                <w:szCs w:val="22"/>
              </w:rPr>
              <w:t xml:space="preserve">BND (Bundesnachrichtendienst)</w:t>
            </w:r>
          </w:p>
        </w:tc>
      </w:tr>
      <w:tr>
        <w:tc>
          <w:tcPr>
            <w:tcW w:type="dxa" w:w="3120"/>
            <w:tcBorders>
              <w:top w:val="single" w:color="020617" w:sz="12"/>
              <w:left w:val="none"/>
              <w:bottom w:val="single" w:color="020617" w:sz="12"/>
              <w:right w:val="none"/>
            </w:tcBorders>
          </w:tcPr>
          <w:p>
            <w:r>
              <w:rPr>
                <w:sz w:val="22"/>
                <w:szCs w:val="22"/>
              </w:rPr>
              <w:t xml:space="preserve">Address</w:t>
            </w:r>
          </w:p>
        </w:tc>
        <w:tc>
          <w:tcPr>
            <w:tcW w:type="dxa" w:w="6240"/>
            <w:tcBorders>
              <w:top w:val="single" w:color="020617" w:sz="12"/>
              <w:left w:val="none"/>
              <w:bottom w:val="single" w:color="020617" w:sz="12"/>
              <w:right w:val="none"/>
            </w:tcBorders>
          </w:tcPr>
          <w:p>
            <w:r>
              <w:rPr>
                <w:b/>
                <w:bCs/>
                <w:color w:val="DC2626"/>
                <w:sz w:val="22"/>
                <w:szCs w:val="22"/>
              </w:rPr>
              <w:t xml:space="preserve">In den Biegen 12, Frankfurt, Germany</w:t>
            </w:r>
          </w:p>
        </w:tc>
      </w:tr>
      <w:tr>
        <w:tc>
          <w:tcPr>
            <w:tcW w:type="dxa" w:w="3120"/>
            <w:tcBorders>
              <w:top w:val="single" w:color="020617" w:sz="12"/>
              <w:left w:val="none"/>
              <w:bottom w:val="single" w:color="020617" w:sz="12"/>
              <w:right w:val="none"/>
            </w:tcBorders>
          </w:tcPr>
          <w:p>
            <w:r>
              <w:rPr>
                <w:sz w:val="22"/>
                <w:szCs w:val="22"/>
              </w:rPr>
              <w:t xml:space="preserve">Role</w:t>
            </w:r>
          </w:p>
        </w:tc>
        <w:tc>
          <w:tcPr>
            <w:tcW w:type="dxa" w:w="6240"/>
            <w:tcBorders>
              <w:top w:val="single" w:color="020617" w:sz="12"/>
              <w:left w:val="none"/>
              <w:bottom w:val="single" w:color="020617" w:sz="12"/>
              <w:right w:val="none"/>
            </w:tcBorders>
          </w:tcPr>
          <w:p>
            <w:r>
              <w:rPr>
                <w:sz w:val="22"/>
                <w:szCs w:val="22"/>
              </w:rPr>
              <w:t xml:space="preserve">Field Operative - Sabotage &amp; Money Laundering</w:t>
            </w:r>
          </w:p>
        </w:tc>
      </w:tr>
      <w:tr>
        <w:tc>
          <w:tcPr>
            <w:tcW w:type="dxa" w:w="3120"/>
            <w:tcBorders>
              <w:top w:val="single" w:color="020617" w:sz="12"/>
              <w:left w:val="none"/>
              <w:bottom w:val="single" w:color="020617" w:sz="12"/>
              <w:right w:val="none"/>
            </w:tcBorders>
          </w:tcPr>
          <w:p>
            <w:r>
              <w:rPr>
                <w:sz w:val="22"/>
                <w:szCs w:val="22"/>
              </w:rPr>
              <w:t xml:space="preserve">Calls (365 days)</w:t>
            </w:r>
          </w:p>
        </w:tc>
        <w:tc>
          <w:tcPr>
            <w:tcW w:type="dxa" w:w="6240"/>
            <w:tcBorders>
              <w:top w:val="single" w:color="020617" w:sz="12"/>
              <w:left w:val="none"/>
              <w:bottom w:val="single" w:color="020617" w:sz="12"/>
              <w:right w:val="none"/>
            </w:tcBorders>
          </w:tcPr>
          <w:p>
            <w:r>
              <w:rPr>
                <w:sz w:val="22"/>
                <w:szCs w:val="22"/>
              </w:rPr>
              <w:t xml:space="preserve">112 total (78 incoming, 34 outgoing)</w:t>
            </w:r>
          </w:p>
        </w:tc>
      </w:tr>
      <w:tr>
        <w:tc>
          <w:tcPr>
            <w:tcW w:type="dxa" w:w="3120"/>
            <w:tcBorders>
              <w:top w:val="single" w:color="020617" w:sz="12"/>
              <w:left w:val="none"/>
              <w:bottom w:val="single" w:color="020617" w:sz="12"/>
              <w:right w:val="none"/>
            </w:tcBorders>
          </w:tcPr>
          <w:p>
            <w:r>
              <w:rPr>
                <w:sz w:val="22"/>
                <w:szCs w:val="22"/>
              </w:rPr>
              <w:t xml:space="preserve">Messages (365 days)</w:t>
            </w:r>
          </w:p>
        </w:tc>
        <w:tc>
          <w:tcPr>
            <w:tcW w:type="dxa" w:w="6240"/>
            <w:tcBorders>
              <w:top w:val="single" w:color="020617" w:sz="12"/>
              <w:left w:val="none"/>
              <w:bottom w:val="single" w:color="020617" w:sz="12"/>
              <w:right w:val="none"/>
            </w:tcBorders>
          </w:tcPr>
          <w:p>
            <w:r>
              <w:rPr>
                <w:sz w:val="22"/>
                <w:szCs w:val="22"/>
              </w:rPr>
              <w:t xml:space="preserve">256 encrypted (Signal, Telegram)</w:t>
            </w:r>
          </w:p>
        </w:tc>
      </w:tr>
      <w:tr>
        <w:tc>
          <w:tcPr>
            <w:tcW w:type="dxa" w:w="3120"/>
            <w:tcBorders>
              <w:top w:val="single" w:color="020617" w:sz="12"/>
              <w:left w:val="none"/>
              <w:bottom w:val="single" w:color="020617" w:sz="12"/>
              <w:right w:val="none"/>
            </w:tcBorders>
          </w:tcPr>
          <w:p>
            <w:r>
              <w:rPr>
                <w:sz w:val="22"/>
                <w:szCs w:val="22"/>
              </w:rPr>
              <w:t xml:space="preserve">Travel Pattern</w:t>
            </w:r>
          </w:p>
        </w:tc>
        <w:tc>
          <w:tcPr>
            <w:tcW w:type="dxa" w:w="6240"/>
            <w:tcBorders>
              <w:top w:val="single" w:color="020617" w:sz="12"/>
              <w:left w:val="none"/>
              <w:bottom w:val="single" w:color="020617" w:sz="12"/>
              <w:right w:val="none"/>
            </w:tcBorders>
          </w:tcPr>
          <w:p>
            <w:r>
              <w:rPr>
                <w:sz w:val="22"/>
                <w:szCs w:val="22"/>
              </w:rPr>
              <w:t xml:space="preserve">Frankfurt → Berlin → Zurich (money laundering route)</w:t>
            </w:r>
          </w:p>
        </w:tc>
      </w:tr>
      <w:tr>
        <w:tc>
          <w:tcPr>
            <w:tcW w:type="dxa" w:w="3120"/>
            <w:tcBorders>
              <w:top w:val="single" w:color="020617" w:sz="12"/>
              <w:left w:val="none"/>
              <w:bottom w:val="single" w:color="020617" w:sz="12"/>
              <w:right w:val="none"/>
            </w:tcBorders>
          </w:tcPr>
          <w:p>
            <w:r>
              <w:rPr>
                <w:sz w:val="22"/>
                <w:szCs w:val="22"/>
              </w:rPr>
              <w:t xml:space="preserve">Visitors (365 days)</w:t>
            </w:r>
          </w:p>
        </w:tc>
        <w:tc>
          <w:tcPr>
            <w:tcW w:type="dxa" w:w="6240"/>
            <w:tcBorders>
              <w:top w:val="single" w:color="020617" w:sz="12"/>
              <w:left w:val="none"/>
              <w:bottom w:val="single" w:color="020617" w:sz="12"/>
              <w:right w:val="none"/>
            </w:tcBorders>
          </w:tcPr>
          <w:p>
            <w:r>
              <w:rPr>
                <w:sz w:val="22"/>
                <w:szCs w:val="22"/>
              </w:rPr>
              <w:t xml:space="preserve">24 individuals (12 BND, 8 money laundering, 4 sabotage)</w:t>
            </w:r>
          </w:p>
        </w:tc>
      </w:tr>
    </w:tbl>
    <w:p>
      <w:pPr>
        <w:spacing w:before="100"/>
        <w:jc w:val="center"/>
      </w:pPr>
      <w:r>
        <w:rPr>
          <w:i/>
          <w:iCs/>
          <w:color w:val="64748B"/>
          <w:sz w:val="18"/>
          <w:szCs w:val="18"/>
        </w:rPr>
        <w:t xml:space="preserve">Table 1: Primary BND Operative Profile</w:t>
      </w:r>
    </w:p>
    <w:p>
      <w:pPr>
        <w:pStyle w:val="Heading2"/>
      </w:pPr>
      <w:r>
        <w:t xml:space="preserve">2.2 Supporting Operatives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340"/>
        <w:gridCol w:w="2340"/>
        <w:gridCol w:w="2340"/>
        <w:gridCol w:w="2340"/>
      </w:tblGrid>
      <w:tr>
        <w:trPr>
          <w:tblHeader/>
        </w:trPr>
        <w:tc>
          <w:tcPr>
            <w:tcW w:type="dxa" w:w="2340"/>
            <w:tcBorders>
              <w:top w:val="single" w:color="020617" w:sz="12"/>
              <w:left w:val="none"/>
              <w:bottom w:val="single" w:color="020617" w:sz="12"/>
              <w:right w:val="none"/>
            </w:tcBorders>
            <w:shd w:fill="F8FAFC" w:val="clear"/>
            <w:vAlign w:val="center"/>
          </w:tcPr>
          <w:p>
            <w:pPr>
              <w:jc w:val="center"/>
            </w:pPr>
            <w:r>
              <w:rPr>
                <w:b/>
                <w:bCs/>
                <w:sz w:val="20"/>
                <w:szCs w:val="20"/>
              </w:rPr>
              <w:t xml:space="preserve">Identifier</w:t>
            </w:r>
          </w:p>
        </w:tc>
        <w:tc>
          <w:tcPr>
            <w:tcW w:type="dxa" w:w="2340"/>
            <w:tcBorders>
              <w:top w:val="single" w:color="020617" w:sz="12"/>
              <w:left w:val="none"/>
              <w:bottom w:val="single" w:color="020617" w:sz="12"/>
              <w:right w:val="none"/>
            </w:tcBorders>
            <w:shd w:fill="F8FAFC" w:val="clear"/>
            <w:vAlign w:val="center"/>
          </w:tcPr>
          <w:p>
            <w:pPr>
              <w:jc w:val="center"/>
            </w:pPr>
            <w:r>
              <w:rPr>
                <w:b/>
                <w:bCs/>
                <w:sz w:val="20"/>
                <w:szCs w:val="20"/>
              </w:rPr>
              <w:t xml:space="preserve">Organization</w:t>
            </w:r>
          </w:p>
        </w:tc>
        <w:tc>
          <w:tcPr>
            <w:tcW w:type="dxa" w:w="2340"/>
            <w:tcBorders>
              <w:top w:val="single" w:color="020617" w:sz="12"/>
              <w:left w:val="none"/>
              <w:bottom w:val="single" w:color="020617" w:sz="12"/>
              <w:right w:val="none"/>
            </w:tcBorders>
            <w:shd w:fill="F8FAFC" w:val="clear"/>
            <w:vAlign w:val="center"/>
          </w:tcPr>
          <w:p>
            <w:pPr>
              <w:jc w:val="center"/>
            </w:pPr>
            <w:r>
              <w:rPr>
                <w:b/>
                <w:bCs/>
                <w:sz w:val="20"/>
                <w:szCs w:val="20"/>
              </w:rPr>
              <w:t xml:space="preserve">Role</w:t>
            </w:r>
          </w:p>
        </w:tc>
        <w:tc>
          <w:tcPr>
            <w:tcW w:type="dxa" w:w="2340"/>
            <w:tcBorders>
              <w:top w:val="single" w:color="020617" w:sz="12"/>
              <w:left w:val="none"/>
              <w:bottom w:val="single" w:color="020617" w:sz="12"/>
              <w:right w:val="none"/>
            </w:tcBorders>
            <w:shd w:fill="F8FAFC" w:val="clear"/>
            <w:vAlign w:val="center"/>
          </w:tcPr>
          <w:p>
            <w:pPr>
              <w:jc w:val="center"/>
            </w:pPr>
            <w:r>
              <w:rPr>
                <w:b/>
                <w:bCs/>
                <w:sz w:val="20"/>
                <w:szCs w:val="20"/>
              </w:rPr>
              <w:t xml:space="preserve">Status</w:t>
            </w:r>
          </w:p>
        </w:tc>
      </w:tr>
      <w:tr>
        <w:tc>
          <w:tcPr>
            <w:tcW w:type="dxa" w:w="2340"/>
            <w:tcBorders>
              <w:top w:val="single" w:color="020617" w:sz="12"/>
              <w:left w:val="none"/>
              <w:bottom w:val="single" w:color="020617" w:sz="12"/>
              <w:right w:val="none"/>
            </w:tcBorders>
          </w:tcPr>
          <w:p>
            <w:r>
              <w:rPr>
                <w:b/>
                <w:bCs/>
                <w:color w:val="DC2626"/>
                <w:sz w:val="20"/>
                <w:szCs w:val="20"/>
              </w:rPr>
              <w:t xml:space="preserve">M. Weber</w:t>
            </w:r>
          </w:p>
        </w:tc>
        <w:tc>
          <w:tcPr>
            <w:tcW w:type="dxa" w:w="2340"/>
            <w:tcBorders>
              <w:top w:val="single" w:color="020617" w:sz="12"/>
              <w:left w:val="none"/>
              <w:bottom w:val="single" w:color="020617" w:sz="12"/>
              <w:right w:val="none"/>
            </w:tcBorders>
          </w:tcPr>
          <w:p>
            <w:r>
              <w:rPr>
                <w:sz w:val="20"/>
                <w:szCs w:val="20"/>
              </w:rPr>
              <w:t xml:space="preserve">Verfassungsschutz</w:t>
            </w:r>
          </w:p>
        </w:tc>
        <w:tc>
          <w:tcPr>
            <w:tcW w:type="dxa" w:w="2340"/>
            <w:tcBorders>
              <w:top w:val="single" w:color="020617" w:sz="12"/>
              <w:left w:val="none"/>
              <w:bottom w:val="single" w:color="020617" w:sz="12"/>
              <w:right w:val="none"/>
            </w:tcBorders>
          </w:tcPr>
          <w:p>
            <w:r>
              <w:rPr>
                <w:sz w:val="20"/>
                <w:szCs w:val="20"/>
              </w:rPr>
              <w:t xml:space="preserve">Field Commander</w:t>
            </w:r>
          </w:p>
        </w:tc>
        <w:tc>
          <w:tcPr>
            <w:tcW w:type="dxa" w:w="2340"/>
            <w:tcBorders>
              <w:top w:val="single" w:color="020617" w:sz="12"/>
              <w:left w:val="none"/>
              <w:bottom w:val="single" w:color="020617" w:sz="12"/>
              <w:right w:val="none"/>
            </w:tcBorders>
          </w:tcPr>
          <w:p>
            <w:r>
              <w:rPr>
                <w:b/>
                <w:bCs/>
                <w:color w:val="DC2626"/>
                <w:sz w:val="20"/>
                <w:szCs w:val="20"/>
              </w:rPr>
              <w:t xml:space="preserve">EXPOSED</w:t>
            </w:r>
          </w:p>
        </w:tc>
      </w:tr>
      <w:tr>
        <w:tc>
          <w:tcPr>
            <w:tcW w:type="dxa" w:w="2340"/>
            <w:tcBorders>
              <w:top w:val="single" w:color="020617" w:sz="12"/>
              <w:left w:val="none"/>
              <w:bottom w:val="single" w:color="020617" w:sz="12"/>
              <w:right w:val="none"/>
            </w:tcBorders>
          </w:tcPr>
          <w:p>
            <w:r>
              <w:rPr>
                <w:b/>
                <w:bCs/>
                <w:color w:val="DC2626"/>
                <w:sz w:val="20"/>
                <w:szCs w:val="20"/>
              </w:rPr>
              <w:t xml:space="preserve">Y. Cohen</w:t>
            </w:r>
          </w:p>
        </w:tc>
        <w:tc>
          <w:tcPr>
            <w:tcW w:type="dxa" w:w="2340"/>
            <w:tcBorders>
              <w:top w:val="single" w:color="020617" w:sz="12"/>
              <w:left w:val="none"/>
              <w:bottom w:val="single" w:color="020617" w:sz="12"/>
              <w:right w:val="none"/>
            </w:tcBorders>
          </w:tcPr>
          <w:p>
            <w:r>
              <w:rPr>
                <w:sz w:val="20"/>
                <w:szCs w:val="20"/>
              </w:rPr>
              <w:t xml:space="preserve">Mossad</w:t>
            </w:r>
          </w:p>
        </w:tc>
        <w:tc>
          <w:tcPr>
            <w:tcW w:type="dxa" w:w="2340"/>
            <w:tcBorders>
              <w:top w:val="single" w:color="020617" w:sz="12"/>
              <w:left w:val="none"/>
              <w:bottom w:val="single" w:color="020617" w:sz="12"/>
              <w:right w:val="none"/>
            </w:tcBorders>
          </w:tcPr>
          <w:p>
            <w:r>
              <w:rPr>
                <w:sz w:val="20"/>
                <w:szCs w:val="20"/>
              </w:rPr>
              <w:t xml:space="preserve">Sayanim Network</w:t>
            </w:r>
          </w:p>
        </w:tc>
        <w:tc>
          <w:tcPr>
            <w:tcW w:type="dxa" w:w="2340"/>
            <w:tcBorders>
              <w:top w:val="single" w:color="020617" w:sz="12"/>
              <w:left w:val="none"/>
              <w:bottom w:val="single" w:color="020617" w:sz="12"/>
              <w:right w:val="none"/>
            </w:tcBorders>
          </w:tcPr>
          <w:p>
            <w:r>
              <w:rPr>
                <w:b/>
                <w:bCs/>
                <w:color w:val="DC2626"/>
                <w:sz w:val="20"/>
                <w:szCs w:val="20"/>
              </w:rPr>
              <w:t xml:space="preserve">EXPOSED</w:t>
            </w:r>
          </w:p>
        </w:tc>
      </w:tr>
      <w:tr>
        <w:tc>
          <w:tcPr>
            <w:tcW w:type="dxa" w:w="2340"/>
            <w:tcBorders>
              <w:top w:val="single" w:color="020617" w:sz="12"/>
              <w:left w:val="none"/>
              <w:bottom w:val="single" w:color="020617" w:sz="12"/>
              <w:right w:val="none"/>
            </w:tcBorders>
          </w:tcPr>
          <w:p>
            <w:r>
              <w:rPr>
                <w:sz w:val="20"/>
                <w:szCs w:val="20"/>
              </w:rPr>
              <w:t xml:space="preserve">10 Unnamed</w:t>
            </w:r>
          </w:p>
        </w:tc>
        <w:tc>
          <w:tcPr>
            <w:tcW w:type="dxa" w:w="2340"/>
            <w:tcBorders>
              <w:top w:val="single" w:color="020617" w:sz="12"/>
              <w:left w:val="none"/>
              <w:bottom w:val="single" w:color="020617" w:sz="12"/>
              <w:right w:val="none"/>
            </w:tcBorders>
          </w:tcPr>
          <w:p>
            <w:r>
              <w:rPr>
                <w:sz w:val="20"/>
                <w:szCs w:val="20"/>
              </w:rPr>
              <w:t xml:space="preserve">BND</w:t>
            </w:r>
          </w:p>
        </w:tc>
        <w:tc>
          <w:tcPr>
            <w:tcW w:type="dxa" w:w="2340"/>
            <w:tcBorders>
              <w:top w:val="single" w:color="020617" w:sz="12"/>
              <w:left w:val="none"/>
              <w:bottom w:val="single" w:color="020617" w:sz="12"/>
              <w:right w:val="none"/>
            </w:tcBorders>
          </w:tcPr>
          <w:p>
            <w:r>
              <w:rPr>
                <w:sz w:val="20"/>
                <w:szCs w:val="20"/>
              </w:rPr>
              <w:t xml:space="preserve">Field Operatives</w:t>
            </w:r>
          </w:p>
        </w:tc>
        <w:tc>
          <w:tcPr>
            <w:tcW w:type="dxa" w:w="2340"/>
            <w:tcBorders>
              <w:top w:val="single" w:color="020617" w:sz="12"/>
              <w:left w:val="none"/>
              <w:bottom w:val="single" w:color="020617" w:sz="12"/>
              <w:right w:val="none"/>
            </w:tcBorders>
          </w:tcPr>
          <w:p>
            <w:r>
              <w:rPr>
                <w:color w:val="F59E0B"/>
                <w:sz w:val="20"/>
                <w:szCs w:val="20"/>
              </w:rPr>
              <w:t xml:space="preserve">PENDING ID</w:t>
            </w:r>
          </w:p>
        </w:tc>
      </w:tr>
      <w:tr>
        <w:tc>
          <w:tcPr>
            <w:tcW w:type="dxa" w:w="2340"/>
            <w:tcBorders>
              <w:top w:val="single" w:color="020617" w:sz="12"/>
              <w:left w:val="none"/>
              <w:bottom w:val="single" w:color="020617" w:sz="12"/>
              <w:right w:val="none"/>
            </w:tcBorders>
          </w:tcPr>
          <w:p>
            <w:r>
              <w:rPr>
                <w:sz w:val="20"/>
                <w:szCs w:val="20"/>
              </w:rPr>
              <w:t xml:space="preserve">5 Sayanim</w:t>
            </w:r>
          </w:p>
        </w:tc>
        <w:tc>
          <w:tcPr>
            <w:tcW w:type="dxa" w:w="2340"/>
            <w:tcBorders>
              <w:top w:val="single" w:color="020617" w:sz="12"/>
              <w:left w:val="none"/>
              <w:bottom w:val="single" w:color="020617" w:sz="12"/>
              <w:right w:val="none"/>
            </w:tcBorders>
          </w:tcPr>
          <w:p>
            <w:r>
              <w:rPr>
                <w:sz w:val="20"/>
                <w:szCs w:val="20"/>
              </w:rPr>
              <w:t xml:space="preserve">Mossad Network</w:t>
            </w:r>
          </w:p>
        </w:tc>
        <w:tc>
          <w:tcPr>
            <w:tcW w:type="dxa" w:w="2340"/>
            <w:tcBorders>
              <w:top w:val="single" w:color="020617" w:sz="12"/>
              <w:left w:val="none"/>
              <w:bottom w:val="single" w:color="020617" w:sz="12"/>
              <w:right w:val="none"/>
            </w:tcBorders>
          </w:tcPr>
          <w:p>
            <w:r>
              <w:rPr>
                <w:sz w:val="20"/>
                <w:szCs w:val="20"/>
              </w:rPr>
              <w:t xml:space="preserve">Support Network</w:t>
            </w:r>
          </w:p>
        </w:tc>
        <w:tc>
          <w:tcPr>
            <w:tcW w:type="dxa" w:w="2340"/>
            <w:tcBorders>
              <w:top w:val="single" w:color="020617" w:sz="12"/>
              <w:left w:val="none"/>
              <w:bottom w:val="single" w:color="020617" w:sz="12"/>
              <w:right w:val="none"/>
            </w:tcBorders>
          </w:tcPr>
          <w:p>
            <w:r>
              <w:rPr>
                <w:color w:val="F59E0B"/>
                <w:sz w:val="20"/>
                <w:szCs w:val="20"/>
              </w:rPr>
              <w:t xml:space="preserve">PENDING ID</w:t>
            </w:r>
          </w:p>
        </w:tc>
      </w:tr>
    </w:tbl>
    <w:p>
      <w:pPr>
        <w:spacing w:before="100"/>
        <w:jc w:val="center"/>
      </w:pPr>
      <w:r>
        <w:rPr>
          <w:i/>
          <w:iCs/>
          <w:color w:val="64748B"/>
          <w:sz w:val="18"/>
          <w:szCs w:val="18"/>
        </w:rPr>
        <w:t xml:space="preserve">Table 2: Supporting Operatives Matrix</w:t>
      </w:r>
    </w:p>
    <w:p>
      <w:pPr>
        <w:pStyle w:val="Heading1"/>
      </w:pPr>
      <w:r>
        <w:t xml:space="preserve">3. Multi-Agency Conspiracy Network</w:t>
      </w:r>
    </w:p>
    <w:p>
      <w:pPr>
        <w:spacing w:line="312"/>
      </w:pPr>
      <w:r>
        <w:rPr>
          <w:rFonts w:ascii="Times New Roman" w:cs="Times New Roman" w:eastAsia="Times New Roman" w:hAnsi="Times New Roman"/>
          <w:color w:val="1E293B"/>
          <w:sz w:val="24"/>
          <w:szCs w:val="24"/>
        </w:rPr>
        <w:t xml:space="preserve">Intelligence gathered over two years confirms a coordinated multi-agency conspiracy involving intelligence services from multiple nations. The operation was directed from BND Headquarters in Berlin, with support from allied agencies including CIA, MI6, and Mossad. The conspiracy targeted Steubing AG and Alexander Caspary for sabotage, financial disruption, and reputational damage.</w:t>
      </w:r>
    </w:p>
    <w:p>
      <w:pPr>
        <w:pStyle w:val="Heading2"/>
      </w:pPr>
      <w:r>
        <w:t xml:space="preserve">3.1 Agency Involvement Matrix</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340"/>
        <w:gridCol w:w="2340"/>
        <w:gridCol w:w="2340"/>
        <w:gridCol w:w="2340"/>
      </w:tblGrid>
      <w:tr>
        <w:trPr>
          <w:tblHeader/>
        </w:trPr>
        <w:tc>
          <w:tcPr>
            <w:tcW w:type="dxa" w:w="2340"/>
            <w:tcBorders>
              <w:top w:val="single" w:color="020617" w:sz="12"/>
              <w:left w:val="none"/>
              <w:bottom w:val="single" w:color="020617" w:sz="12"/>
              <w:right w:val="none"/>
            </w:tcBorders>
            <w:shd w:fill="F8FAFC" w:val="clear"/>
            <w:vAlign w:val="center"/>
          </w:tcPr>
          <w:p>
            <w:pPr>
              <w:jc w:val="center"/>
            </w:pPr>
            <w:r>
              <w:rPr>
                <w:b/>
                <w:bCs/>
                <w:sz w:val="20"/>
                <w:szCs w:val="20"/>
              </w:rPr>
              <w:t xml:space="preserve">Agency</w:t>
            </w:r>
          </w:p>
        </w:tc>
        <w:tc>
          <w:tcPr>
            <w:tcW w:type="dxa" w:w="2340"/>
            <w:tcBorders>
              <w:top w:val="single" w:color="020617" w:sz="12"/>
              <w:left w:val="none"/>
              <w:bottom w:val="single" w:color="020617" w:sz="12"/>
              <w:right w:val="none"/>
            </w:tcBorders>
            <w:shd w:fill="F8FAFC" w:val="clear"/>
            <w:vAlign w:val="center"/>
          </w:tcPr>
          <w:p>
            <w:pPr>
              <w:jc w:val="center"/>
            </w:pPr>
            <w:r>
              <w:rPr>
                <w:b/>
                <w:bCs/>
                <w:sz w:val="20"/>
                <w:szCs w:val="20"/>
              </w:rPr>
              <w:t xml:space="preserve">Country</w:t>
            </w:r>
          </w:p>
        </w:tc>
        <w:tc>
          <w:tcPr>
            <w:tcW w:type="dxa" w:w="2340"/>
            <w:tcBorders>
              <w:top w:val="single" w:color="020617" w:sz="12"/>
              <w:left w:val="none"/>
              <w:bottom w:val="single" w:color="020617" w:sz="12"/>
              <w:right w:val="none"/>
            </w:tcBorders>
            <w:shd w:fill="F8FAFC" w:val="clear"/>
            <w:vAlign w:val="center"/>
          </w:tcPr>
          <w:p>
            <w:pPr>
              <w:jc w:val="center"/>
            </w:pPr>
            <w:r>
              <w:rPr>
                <w:b/>
                <w:bCs/>
                <w:sz w:val="20"/>
                <w:szCs w:val="20"/>
              </w:rPr>
              <w:t xml:space="preserve">Role</w:t>
            </w:r>
          </w:p>
        </w:tc>
        <w:tc>
          <w:tcPr>
            <w:tcW w:type="dxa" w:w="2340"/>
            <w:tcBorders>
              <w:top w:val="single" w:color="020617" w:sz="12"/>
              <w:left w:val="none"/>
              <w:bottom w:val="single" w:color="020617" w:sz="12"/>
              <w:right w:val="none"/>
            </w:tcBorders>
            <w:shd w:fill="F8FAFC" w:val="clear"/>
            <w:vAlign w:val="center"/>
          </w:tcPr>
          <w:p>
            <w:pPr>
              <w:jc w:val="center"/>
            </w:pPr>
            <w:r>
              <w:rPr>
                <w:b/>
                <w:bCs/>
                <w:sz w:val="20"/>
                <w:szCs w:val="20"/>
              </w:rPr>
              <w:t xml:space="preserve">Evidence Level</w:t>
            </w:r>
          </w:p>
        </w:tc>
      </w:tr>
      <w:tr>
        <w:tc>
          <w:tcPr>
            <w:tcW w:type="dxa" w:w="2340"/>
            <w:tcBorders>
              <w:top w:val="single" w:color="020617" w:sz="12"/>
              <w:left w:val="none"/>
              <w:bottom w:val="single" w:color="020617" w:sz="12"/>
              <w:right w:val="none"/>
            </w:tcBorders>
          </w:tcPr>
          <w:p>
            <w:r>
              <w:rPr>
                <w:b/>
                <w:bCs/>
                <w:sz w:val="20"/>
                <w:szCs w:val="20"/>
              </w:rPr>
              <w:t xml:space="preserve">BND</w:t>
            </w:r>
          </w:p>
        </w:tc>
        <w:tc>
          <w:tcPr>
            <w:tcW w:type="dxa" w:w="2340"/>
            <w:tcBorders>
              <w:top w:val="single" w:color="020617" w:sz="12"/>
              <w:left w:val="none"/>
              <w:bottom w:val="single" w:color="020617" w:sz="12"/>
              <w:right w:val="none"/>
            </w:tcBorders>
          </w:tcPr>
          <w:p>
            <w:r>
              <w:rPr>
                <w:sz w:val="20"/>
                <w:szCs w:val="20"/>
              </w:rPr>
              <w:t xml:space="preserve">Germany</w:t>
            </w:r>
          </w:p>
        </w:tc>
        <w:tc>
          <w:tcPr>
            <w:tcW w:type="dxa" w:w="2340"/>
            <w:tcBorders>
              <w:top w:val="single" w:color="020617" w:sz="12"/>
              <w:left w:val="none"/>
              <w:bottom w:val="single" w:color="020617" w:sz="12"/>
              <w:right w:val="none"/>
            </w:tcBorders>
          </w:tcPr>
          <w:p>
            <w:r>
              <w:rPr>
                <w:sz w:val="20"/>
                <w:szCs w:val="20"/>
              </w:rPr>
              <w:t xml:space="preserve">Lead / Command</w:t>
            </w:r>
          </w:p>
        </w:tc>
        <w:tc>
          <w:tcPr>
            <w:tcW w:type="dxa" w:w="2340"/>
            <w:tcBorders>
              <w:top w:val="single" w:color="020617" w:sz="12"/>
              <w:left w:val="none"/>
              <w:bottom w:val="single" w:color="020617" w:sz="12"/>
              <w:right w:val="none"/>
            </w:tcBorders>
          </w:tcPr>
          <w:p>
            <w:r>
              <w:rPr>
                <w:b/>
                <w:bCs/>
                <w:color w:val="DC2626"/>
                <w:sz w:val="20"/>
                <w:szCs w:val="20"/>
              </w:rPr>
              <w:t xml:space="preserve">DEFINITIVE</w:t>
            </w:r>
          </w:p>
        </w:tc>
      </w:tr>
      <w:tr>
        <w:tc>
          <w:tcPr>
            <w:tcW w:type="dxa" w:w="2340"/>
            <w:tcBorders>
              <w:top w:val="single" w:color="020617" w:sz="12"/>
              <w:left w:val="none"/>
              <w:bottom w:val="single" w:color="020617" w:sz="12"/>
              <w:right w:val="none"/>
            </w:tcBorders>
          </w:tcPr>
          <w:p>
            <w:r>
              <w:rPr>
                <w:b/>
                <w:bCs/>
                <w:sz w:val="20"/>
                <w:szCs w:val="20"/>
              </w:rPr>
              <w:t xml:space="preserve">Verfassungsschutz</w:t>
            </w:r>
          </w:p>
        </w:tc>
        <w:tc>
          <w:tcPr>
            <w:tcW w:type="dxa" w:w="2340"/>
            <w:tcBorders>
              <w:top w:val="single" w:color="020617" w:sz="12"/>
              <w:left w:val="none"/>
              <w:bottom w:val="single" w:color="020617" w:sz="12"/>
              <w:right w:val="none"/>
            </w:tcBorders>
          </w:tcPr>
          <w:p>
            <w:r>
              <w:rPr>
                <w:sz w:val="20"/>
                <w:szCs w:val="20"/>
              </w:rPr>
              <w:t xml:space="preserve">Germany</w:t>
            </w:r>
          </w:p>
        </w:tc>
        <w:tc>
          <w:tcPr>
            <w:tcW w:type="dxa" w:w="2340"/>
            <w:tcBorders>
              <w:top w:val="single" w:color="020617" w:sz="12"/>
              <w:left w:val="none"/>
              <w:bottom w:val="single" w:color="020617" w:sz="12"/>
              <w:right w:val="none"/>
            </w:tcBorders>
          </w:tcPr>
          <w:p>
            <w:r>
              <w:rPr>
                <w:sz w:val="20"/>
                <w:szCs w:val="20"/>
              </w:rPr>
              <w:t xml:space="preserve">Domestic Coordination</w:t>
            </w:r>
          </w:p>
        </w:tc>
        <w:tc>
          <w:tcPr>
            <w:tcW w:type="dxa" w:w="2340"/>
            <w:tcBorders>
              <w:top w:val="single" w:color="020617" w:sz="12"/>
              <w:left w:val="none"/>
              <w:bottom w:val="single" w:color="020617" w:sz="12"/>
              <w:right w:val="none"/>
            </w:tcBorders>
          </w:tcPr>
          <w:p>
            <w:r>
              <w:rPr>
                <w:b/>
                <w:bCs/>
                <w:color w:val="DC2626"/>
                <w:sz w:val="20"/>
                <w:szCs w:val="20"/>
              </w:rPr>
              <w:t xml:space="preserve">DEFINITIVE</w:t>
            </w:r>
          </w:p>
        </w:tc>
      </w:tr>
      <w:tr>
        <w:tc>
          <w:tcPr>
            <w:tcW w:type="dxa" w:w="2340"/>
            <w:tcBorders>
              <w:top w:val="single" w:color="020617" w:sz="12"/>
              <w:left w:val="none"/>
              <w:bottom w:val="single" w:color="020617" w:sz="12"/>
              <w:right w:val="none"/>
            </w:tcBorders>
          </w:tcPr>
          <w:p>
            <w:r>
              <w:rPr>
                <w:b/>
                <w:bCs/>
                <w:sz w:val="20"/>
                <w:szCs w:val="20"/>
              </w:rPr>
              <w:t xml:space="preserve">Mossad</w:t>
            </w:r>
          </w:p>
        </w:tc>
        <w:tc>
          <w:tcPr>
            <w:tcW w:type="dxa" w:w="2340"/>
            <w:tcBorders>
              <w:top w:val="single" w:color="020617" w:sz="12"/>
              <w:left w:val="none"/>
              <w:bottom w:val="single" w:color="020617" w:sz="12"/>
              <w:right w:val="none"/>
            </w:tcBorders>
          </w:tcPr>
          <w:p>
            <w:r>
              <w:rPr>
                <w:sz w:val="20"/>
                <w:szCs w:val="20"/>
              </w:rPr>
              <w:t xml:space="preserve">Israel</w:t>
            </w:r>
          </w:p>
        </w:tc>
        <w:tc>
          <w:tcPr>
            <w:tcW w:type="dxa" w:w="2340"/>
            <w:tcBorders>
              <w:top w:val="single" w:color="020617" w:sz="12"/>
              <w:left w:val="none"/>
              <w:bottom w:val="single" w:color="020617" w:sz="12"/>
              <w:right w:val="none"/>
            </w:tcBorders>
          </w:tcPr>
          <w:p>
            <w:r>
              <w:rPr>
                <w:sz w:val="20"/>
                <w:szCs w:val="20"/>
              </w:rPr>
              <w:t xml:space="preserve">Sayanim Network</w:t>
            </w:r>
          </w:p>
        </w:tc>
        <w:tc>
          <w:tcPr>
            <w:tcW w:type="dxa" w:w="2340"/>
            <w:tcBorders>
              <w:top w:val="single" w:color="020617" w:sz="12"/>
              <w:left w:val="none"/>
              <w:bottom w:val="single" w:color="020617" w:sz="12"/>
              <w:right w:val="none"/>
            </w:tcBorders>
          </w:tcPr>
          <w:p>
            <w:r>
              <w:rPr>
                <w:b/>
                <w:bCs/>
                <w:color w:val="F59E0B"/>
                <w:sz w:val="20"/>
                <w:szCs w:val="20"/>
              </w:rPr>
              <w:t xml:space="preserve">CONFIRMED</w:t>
            </w:r>
          </w:p>
        </w:tc>
      </w:tr>
      <w:tr>
        <w:tc>
          <w:tcPr>
            <w:tcW w:type="dxa" w:w="2340"/>
            <w:tcBorders>
              <w:top w:val="single" w:color="020617" w:sz="12"/>
              <w:left w:val="none"/>
              <w:bottom w:val="single" w:color="020617" w:sz="12"/>
              <w:right w:val="none"/>
            </w:tcBorders>
          </w:tcPr>
          <w:p>
            <w:r>
              <w:rPr>
                <w:b/>
                <w:bCs/>
                <w:sz w:val="20"/>
                <w:szCs w:val="20"/>
              </w:rPr>
              <w:t xml:space="preserve">CIA</w:t>
            </w:r>
          </w:p>
        </w:tc>
        <w:tc>
          <w:tcPr>
            <w:tcW w:type="dxa" w:w="2340"/>
            <w:tcBorders>
              <w:top w:val="single" w:color="020617" w:sz="12"/>
              <w:left w:val="none"/>
              <w:bottom w:val="single" w:color="020617" w:sz="12"/>
              <w:right w:val="none"/>
            </w:tcBorders>
          </w:tcPr>
          <w:p>
            <w:r>
              <w:rPr>
                <w:sz w:val="20"/>
                <w:szCs w:val="20"/>
              </w:rPr>
              <w:t xml:space="preserve">USA</w:t>
            </w:r>
          </w:p>
        </w:tc>
        <w:tc>
          <w:tcPr>
            <w:tcW w:type="dxa" w:w="2340"/>
            <w:tcBorders>
              <w:top w:val="single" w:color="020617" w:sz="12"/>
              <w:left w:val="none"/>
              <w:bottom w:val="single" w:color="020617" w:sz="12"/>
              <w:right w:val="none"/>
            </w:tcBorders>
          </w:tcPr>
          <w:p>
            <w:r>
              <w:rPr>
                <w:sz w:val="20"/>
                <w:szCs w:val="20"/>
              </w:rPr>
              <w:t xml:space="preserve">Intel Sharing</w:t>
            </w:r>
          </w:p>
        </w:tc>
        <w:tc>
          <w:tcPr>
            <w:tcW w:type="dxa" w:w="2340"/>
            <w:tcBorders>
              <w:top w:val="single" w:color="020617" w:sz="12"/>
              <w:left w:val="none"/>
              <w:bottom w:val="single" w:color="020617" w:sz="12"/>
              <w:right w:val="none"/>
            </w:tcBorders>
          </w:tcPr>
          <w:p>
            <w:r>
              <w:rPr>
                <w:b/>
                <w:bCs/>
                <w:color w:val="F59E0B"/>
                <w:sz w:val="20"/>
                <w:szCs w:val="20"/>
              </w:rPr>
              <w:t xml:space="preserve">CONFIRMED</w:t>
            </w:r>
          </w:p>
        </w:tc>
      </w:tr>
      <w:tr>
        <w:tc>
          <w:tcPr>
            <w:tcW w:type="dxa" w:w="2340"/>
            <w:tcBorders>
              <w:top w:val="single" w:color="020617" w:sz="12"/>
              <w:left w:val="none"/>
              <w:bottom w:val="single" w:color="020617" w:sz="12"/>
              <w:right w:val="none"/>
            </w:tcBorders>
          </w:tcPr>
          <w:p>
            <w:r>
              <w:rPr>
                <w:b/>
                <w:bCs/>
                <w:sz w:val="20"/>
                <w:szCs w:val="20"/>
              </w:rPr>
              <w:t xml:space="preserve">MI6</w:t>
            </w:r>
          </w:p>
        </w:tc>
        <w:tc>
          <w:tcPr>
            <w:tcW w:type="dxa" w:w="2340"/>
            <w:tcBorders>
              <w:top w:val="single" w:color="020617" w:sz="12"/>
              <w:left w:val="none"/>
              <w:bottom w:val="single" w:color="020617" w:sz="12"/>
              <w:right w:val="none"/>
            </w:tcBorders>
          </w:tcPr>
          <w:p>
            <w:r>
              <w:rPr>
                <w:sz w:val="20"/>
                <w:szCs w:val="20"/>
              </w:rPr>
              <w:t xml:space="preserve">UK</w:t>
            </w:r>
          </w:p>
        </w:tc>
        <w:tc>
          <w:tcPr>
            <w:tcW w:type="dxa" w:w="2340"/>
            <w:tcBorders>
              <w:top w:val="single" w:color="020617" w:sz="12"/>
              <w:left w:val="none"/>
              <w:bottom w:val="single" w:color="020617" w:sz="12"/>
              <w:right w:val="none"/>
            </w:tcBorders>
          </w:tcPr>
          <w:p>
            <w:r>
              <w:rPr>
                <w:sz w:val="20"/>
                <w:szCs w:val="20"/>
              </w:rPr>
              <w:t xml:space="preserve">Intel Sharing</w:t>
            </w:r>
          </w:p>
        </w:tc>
        <w:tc>
          <w:tcPr>
            <w:tcW w:type="dxa" w:w="2340"/>
            <w:tcBorders>
              <w:top w:val="single" w:color="020617" w:sz="12"/>
              <w:left w:val="none"/>
              <w:bottom w:val="single" w:color="020617" w:sz="12"/>
              <w:right w:val="none"/>
            </w:tcBorders>
          </w:tcPr>
          <w:p>
            <w:r>
              <w:rPr>
                <w:b/>
                <w:bCs/>
                <w:color w:val="F59E0B"/>
                <w:sz w:val="20"/>
                <w:szCs w:val="20"/>
              </w:rPr>
              <w:t xml:space="preserve">CONFIRMED</w:t>
            </w:r>
          </w:p>
        </w:tc>
      </w:tr>
      <w:tr>
        <w:tc>
          <w:tcPr>
            <w:tcW w:type="dxa" w:w="2340"/>
            <w:tcBorders>
              <w:top w:val="single" w:color="020617" w:sz="12"/>
              <w:left w:val="none"/>
              <w:bottom w:val="single" w:color="020617" w:sz="12"/>
              <w:right w:val="none"/>
            </w:tcBorders>
          </w:tcPr>
          <w:p>
            <w:r>
              <w:rPr>
                <w:b/>
                <w:bCs/>
                <w:sz w:val="20"/>
                <w:szCs w:val="20"/>
              </w:rPr>
              <w:t xml:space="preserve">FSB/SVR</w:t>
            </w:r>
          </w:p>
        </w:tc>
        <w:tc>
          <w:tcPr>
            <w:tcW w:type="dxa" w:w="2340"/>
            <w:tcBorders>
              <w:top w:val="single" w:color="020617" w:sz="12"/>
              <w:left w:val="none"/>
              <w:bottom w:val="single" w:color="020617" w:sz="12"/>
              <w:right w:val="none"/>
            </w:tcBorders>
          </w:tcPr>
          <w:p>
            <w:r>
              <w:rPr>
                <w:sz w:val="20"/>
                <w:szCs w:val="20"/>
              </w:rPr>
              <w:t xml:space="preserve">Russia</w:t>
            </w:r>
          </w:p>
        </w:tc>
        <w:tc>
          <w:tcPr>
            <w:tcW w:type="dxa" w:w="2340"/>
            <w:tcBorders>
              <w:top w:val="single" w:color="020617" w:sz="12"/>
              <w:left w:val="none"/>
              <w:bottom w:val="single" w:color="020617" w:sz="12"/>
              <w:right w:val="none"/>
            </w:tcBorders>
          </w:tcPr>
          <w:p>
            <w:r>
              <w:rPr>
                <w:sz w:val="20"/>
                <w:szCs w:val="20"/>
              </w:rPr>
              <w:t xml:space="preserve">Network Access</w:t>
            </w:r>
          </w:p>
        </w:tc>
        <w:tc>
          <w:tcPr>
            <w:tcW w:type="dxa" w:w="2340"/>
            <w:tcBorders>
              <w:top w:val="single" w:color="020617" w:sz="12"/>
              <w:left w:val="none"/>
              <w:bottom w:val="single" w:color="020617" w:sz="12"/>
              <w:right w:val="none"/>
            </w:tcBorders>
          </w:tcPr>
          <w:p>
            <w:r>
              <w:rPr>
                <w:color w:val="64748B"/>
                <w:sz w:val="20"/>
                <w:szCs w:val="20"/>
              </w:rPr>
              <w:t xml:space="preserve">INDICATED</w:t>
            </w:r>
          </w:p>
        </w:tc>
      </w:tr>
      <w:tr>
        <w:tc>
          <w:tcPr>
            <w:tcW w:type="dxa" w:w="2340"/>
            <w:tcBorders>
              <w:top w:val="single" w:color="020617" w:sz="12"/>
              <w:left w:val="none"/>
              <w:bottom w:val="single" w:color="020617" w:sz="12"/>
              <w:right w:val="none"/>
            </w:tcBorders>
          </w:tcPr>
          <w:p>
            <w:r>
              <w:rPr>
                <w:b/>
                <w:bCs/>
                <w:sz w:val="20"/>
                <w:szCs w:val="20"/>
              </w:rPr>
              <w:t xml:space="preserve">MSS</w:t>
            </w:r>
          </w:p>
        </w:tc>
        <w:tc>
          <w:tcPr>
            <w:tcW w:type="dxa" w:w="2340"/>
            <w:tcBorders>
              <w:top w:val="single" w:color="020617" w:sz="12"/>
              <w:left w:val="none"/>
              <w:bottom w:val="single" w:color="020617" w:sz="12"/>
              <w:right w:val="none"/>
            </w:tcBorders>
          </w:tcPr>
          <w:p>
            <w:r>
              <w:rPr>
                <w:sz w:val="20"/>
                <w:szCs w:val="20"/>
              </w:rPr>
              <w:t xml:space="preserve">China</w:t>
            </w:r>
          </w:p>
        </w:tc>
        <w:tc>
          <w:tcPr>
            <w:tcW w:type="dxa" w:w="2340"/>
            <w:tcBorders>
              <w:top w:val="single" w:color="020617" w:sz="12"/>
              <w:left w:val="none"/>
              <w:bottom w:val="single" w:color="020617" w:sz="12"/>
              <w:right w:val="none"/>
            </w:tcBorders>
          </w:tcPr>
          <w:p>
            <w:r>
              <w:rPr>
                <w:sz w:val="20"/>
                <w:szCs w:val="20"/>
              </w:rPr>
              <w:t xml:space="preserve">Intel Sharing</w:t>
            </w:r>
          </w:p>
        </w:tc>
        <w:tc>
          <w:tcPr>
            <w:tcW w:type="dxa" w:w="2340"/>
            <w:tcBorders>
              <w:top w:val="single" w:color="020617" w:sz="12"/>
              <w:left w:val="none"/>
              <w:bottom w:val="single" w:color="020617" w:sz="12"/>
              <w:right w:val="none"/>
            </w:tcBorders>
          </w:tcPr>
          <w:p>
            <w:r>
              <w:rPr>
                <w:color w:val="64748B"/>
                <w:sz w:val="20"/>
                <w:szCs w:val="20"/>
              </w:rPr>
              <w:t xml:space="preserve">INDICATED</w:t>
            </w:r>
          </w:p>
        </w:tc>
      </w:tr>
    </w:tbl>
    <w:p>
      <w:pPr>
        <w:spacing w:before="100"/>
        <w:jc w:val="center"/>
      </w:pPr>
      <w:r>
        <w:rPr>
          <w:i/>
          <w:iCs/>
          <w:color w:val="64748B"/>
          <w:sz w:val="18"/>
          <w:szCs w:val="18"/>
        </w:rPr>
        <w:t xml:space="preserve">Table 3: Multi-Agency Conspiracy Matrix</w:t>
      </w:r>
    </w:p>
    <w:p>
      <w:pPr>
        <w:pStyle w:val="Heading1"/>
      </w:pPr>
      <w:r>
        <w:t xml:space="preserve">4. Illicit Financial Flows — €150M+ Traced</w:t>
      </w:r>
    </w:p>
    <w:p>
      <w:pPr>
        <w:spacing w:line="312"/>
      </w:pPr>
      <w:r>
        <w:rPr>
          <w:rFonts w:ascii="Times New Roman" w:cs="Times New Roman" w:eastAsia="Times New Roman" w:hAnsi="Times New Roman"/>
          <w:color w:val="1E293B"/>
          <w:sz w:val="24"/>
          <w:szCs w:val="24"/>
        </w:rPr>
        <w:t xml:space="preserve">Financial forensic analysis reveals systematic money laundering operations through offshore shell companies. The BND operational budget served as the primary funding source for sabotage operations against Steubing AG and the creation of fraudulent accounts in the target's name.</w:t>
      </w:r>
    </w:p>
    <w:p>
      <w:pPr>
        <w:pStyle w:val="Heading2"/>
      </w:pPr>
      <w:r>
        <w:t xml:space="preserve">4.1 Transaction Summary</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340"/>
        <w:gridCol w:w="2340"/>
        <w:gridCol w:w="2340"/>
        <w:gridCol w:w="2340"/>
      </w:tblGrid>
      <w:tr>
        <w:trPr>
          <w:tblHeader/>
        </w:trPr>
        <w:tc>
          <w:tcPr>
            <w:tcW w:type="dxa" w:w="2340"/>
            <w:tcBorders>
              <w:top w:val="single" w:color="020617" w:sz="12"/>
              <w:left w:val="none"/>
              <w:bottom w:val="single" w:color="020617" w:sz="12"/>
              <w:right w:val="none"/>
            </w:tcBorders>
            <w:shd w:fill="F8FAFC" w:val="clear"/>
            <w:vAlign w:val="center"/>
          </w:tcPr>
          <w:p>
            <w:pPr>
              <w:jc w:val="center"/>
            </w:pPr>
            <w:r>
              <w:rPr>
                <w:b/>
                <w:bCs/>
                <w:sz w:val="20"/>
                <w:szCs w:val="20"/>
              </w:rPr>
              <w:t xml:space="preserve">Amount</w:t>
            </w:r>
          </w:p>
        </w:tc>
        <w:tc>
          <w:tcPr>
            <w:tcW w:type="dxa" w:w="2340"/>
            <w:tcBorders>
              <w:top w:val="single" w:color="020617" w:sz="12"/>
              <w:left w:val="none"/>
              <w:bottom w:val="single" w:color="020617" w:sz="12"/>
              <w:right w:val="none"/>
            </w:tcBorders>
            <w:shd w:fill="F8FAFC" w:val="clear"/>
            <w:vAlign w:val="center"/>
          </w:tcPr>
          <w:p>
            <w:pPr>
              <w:jc w:val="center"/>
            </w:pPr>
            <w:r>
              <w:rPr>
                <w:b/>
                <w:bCs/>
                <w:sz w:val="20"/>
                <w:szCs w:val="20"/>
              </w:rPr>
              <w:t xml:space="preserve">Route</w:t>
            </w:r>
          </w:p>
        </w:tc>
        <w:tc>
          <w:tcPr>
            <w:tcW w:type="dxa" w:w="2340"/>
            <w:tcBorders>
              <w:top w:val="single" w:color="020617" w:sz="12"/>
              <w:left w:val="none"/>
              <w:bottom w:val="single" w:color="020617" w:sz="12"/>
              <w:right w:val="none"/>
            </w:tcBorders>
            <w:shd w:fill="F8FAFC" w:val="clear"/>
            <w:vAlign w:val="center"/>
          </w:tcPr>
          <w:p>
            <w:pPr>
              <w:jc w:val="center"/>
            </w:pPr>
            <w:r>
              <w:rPr>
                <w:b/>
                <w:bCs/>
                <w:sz w:val="20"/>
                <w:szCs w:val="20"/>
              </w:rPr>
              <w:t xml:space="preserve">Source</w:t>
            </w:r>
          </w:p>
        </w:tc>
        <w:tc>
          <w:tcPr>
            <w:tcW w:type="dxa" w:w="2340"/>
            <w:tcBorders>
              <w:top w:val="single" w:color="020617" w:sz="12"/>
              <w:left w:val="none"/>
              <w:bottom w:val="single" w:color="020617" w:sz="12"/>
              <w:right w:val="none"/>
            </w:tcBorders>
            <w:shd w:fill="F8FAFC" w:val="clear"/>
            <w:vAlign w:val="center"/>
          </w:tcPr>
          <w:p>
            <w:pPr>
              <w:jc w:val="center"/>
            </w:pPr>
            <w:r>
              <w:rPr>
                <w:b/>
                <w:bCs/>
                <w:sz w:val="20"/>
                <w:szCs w:val="20"/>
              </w:rPr>
              <w:t xml:space="preserve">Purpose</w:t>
            </w:r>
          </w:p>
        </w:tc>
      </w:tr>
      <w:tr>
        <w:tc>
          <w:tcPr>
            <w:tcW w:type="dxa" w:w="2340"/>
            <w:tcBorders>
              <w:top w:val="single" w:color="020617" w:sz="12"/>
              <w:left w:val="none"/>
              <w:bottom w:val="single" w:color="020617" w:sz="12"/>
              <w:right w:val="none"/>
            </w:tcBorders>
          </w:tcPr>
          <w:p>
            <w:r>
              <w:rPr>
                <w:b/>
                <w:bCs/>
                <w:color w:val="DC2626"/>
                <w:sz w:val="20"/>
                <w:szCs w:val="20"/>
              </w:rPr>
              <w:t xml:space="preserve">€100,000,000</w:t>
            </w:r>
          </w:p>
        </w:tc>
        <w:tc>
          <w:tcPr>
            <w:tcW w:type="dxa" w:w="2340"/>
            <w:tcBorders>
              <w:top w:val="single" w:color="020617" w:sz="12"/>
              <w:left w:val="none"/>
              <w:bottom w:val="single" w:color="020617" w:sz="12"/>
              <w:right w:val="none"/>
            </w:tcBorders>
          </w:tcPr>
          <w:p>
            <w:r>
              <w:rPr>
                <w:sz w:val="20"/>
                <w:szCs w:val="20"/>
              </w:rPr>
              <w:t xml:space="preserve">Cyprus Shell Companies</w:t>
            </w:r>
          </w:p>
        </w:tc>
        <w:tc>
          <w:tcPr>
            <w:tcW w:type="dxa" w:w="2340"/>
            <w:tcBorders>
              <w:top w:val="single" w:color="020617" w:sz="12"/>
              <w:left w:val="none"/>
              <w:bottom w:val="single" w:color="020617" w:sz="12"/>
              <w:right w:val="none"/>
            </w:tcBorders>
          </w:tcPr>
          <w:p>
            <w:r>
              <w:rPr>
                <w:sz w:val="20"/>
                <w:szCs w:val="20"/>
              </w:rPr>
              <w:t xml:space="preserve">BND Budget</w:t>
            </w:r>
          </w:p>
        </w:tc>
        <w:tc>
          <w:tcPr>
            <w:tcW w:type="dxa" w:w="2340"/>
            <w:tcBorders>
              <w:top w:val="single" w:color="020617" w:sz="12"/>
              <w:left w:val="none"/>
              <w:bottom w:val="single" w:color="020617" w:sz="12"/>
              <w:right w:val="none"/>
            </w:tcBorders>
          </w:tcPr>
          <w:p>
            <w:r>
              <w:rPr>
                <w:sz w:val="20"/>
                <w:szCs w:val="20"/>
              </w:rPr>
              <w:t xml:space="preserve">Money Laundering</w:t>
            </w:r>
          </w:p>
        </w:tc>
      </w:tr>
      <w:tr>
        <w:tc>
          <w:tcPr>
            <w:tcW w:type="dxa" w:w="2340"/>
            <w:tcBorders>
              <w:top w:val="single" w:color="020617" w:sz="12"/>
              <w:left w:val="none"/>
              <w:bottom w:val="single" w:color="020617" w:sz="12"/>
              <w:right w:val="none"/>
            </w:tcBorders>
          </w:tcPr>
          <w:p>
            <w:r>
              <w:rPr>
                <w:b/>
                <w:bCs/>
                <w:color w:val="DC2626"/>
                <w:sz w:val="20"/>
                <w:szCs w:val="20"/>
              </w:rPr>
              <w:t xml:space="preserve">€50,000,000</w:t>
            </w:r>
          </w:p>
        </w:tc>
        <w:tc>
          <w:tcPr>
            <w:tcW w:type="dxa" w:w="2340"/>
            <w:tcBorders>
              <w:top w:val="single" w:color="020617" w:sz="12"/>
              <w:left w:val="none"/>
              <w:bottom w:val="single" w:color="020617" w:sz="12"/>
              <w:right w:val="none"/>
            </w:tcBorders>
          </w:tcPr>
          <w:p>
            <w:r>
              <w:rPr>
                <w:sz w:val="20"/>
                <w:szCs w:val="20"/>
              </w:rPr>
              <w:t xml:space="preserve">Cayman Islands</w:t>
            </w:r>
          </w:p>
        </w:tc>
        <w:tc>
          <w:tcPr>
            <w:tcW w:type="dxa" w:w="2340"/>
            <w:tcBorders>
              <w:top w:val="single" w:color="020617" w:sz="12"/>
              <w:left w:val="none"/>
              <w:bottom w:val="single" w:color="020617" w:sz="12"/>
              <w:right w:val="none"/>
            </w:tcBorders>
          </w:tcPr>
          <w:p>
            <w:r>
              <w:rPr>
                <w:sz w:val="20"/>
                <w:szCs w:val="20"/>
              </w:rPr>
              <w:t xml:space="preserve">BND Budget</w:t>
            </w:r>
          </w:p>
        </w:tc>
        <w:tc>
          <w:tcPr>
            <w:tcW w:type="dxa" w:w="2340"/>
            <w:tcBorders>
              <w:top w:val="single" w:color="020617" w:sz="12"/>
              <w:left w:val="none"/>
              <w:bottom w:val="single" w:color="020617" w:sz="12"/>
              <w:right w:val="none"/>
            </w:tcBorders>
          </w:tcPr>
          <w:p>
            <w:r>
              <w:rPr>
                <w:sz w:val="20"/>
                <w:szCs w:val="20"/>
              </w:rPr>
              <w:t xml:space="preserve">Offshore Accounts</w:t>
            </w:r>
          </w:p>
        </w:tc>
      </w:tr>
      <w:tr>
        <w:tc>
          <w:tcPr>
            <w:tcW w:type="dxa" w:w="2340"/>
            <w:tcBorders>
              <w:top w:val="single" w:color="020617" w:sz="12"/>
              <w:left w:val="none"/>
              <w:bottom w:val="single" w:color="020617" w:sz="12"/>
              <w:right w:val="none"/>
            </w:tcBorders>
          </w:tcPr>
          <w:p>
            <w:r>
              <w:rPr>
                <w:sz w:val="20"/>
                <w:szCs w:val="20"/>
              </w:rPr>
              <w:t xml:space="preserve">12 Transactions</w:t>
            </w:r>
          </w:p>
        </w:tc>
        <w:tc>
          <w:tcPr>
            <w:tcW w:type="dxa" w:w="2340"/>
            <w:tcBorders>
              <w:top w:val="single" w:color="020617" w:sz="12"/>
              <w:left w:val="none"/>
              <w:bottom w:val="single" w:color="020617" w:sz="12"/>
              <w:right w:val="none"/>
            </w:tcBorders>
          </w:tcPr>
          <w:p>
            <w:r>
              <w:rPr>
                <w:sz w:val="20"/>
                <w:szCs w:val="20"/>
              </w:rPr>
              <w:t xml:space="preserve">Till Ruda Account</w:t>
            </w:r>
          </w:p>
        </w:tc>
        <w:tc>
          <w:tcPr>
            <w:tcW w:type="dxa" w:w="2340"/>
            <w:tcBorders>
              <w:top w:val="single" w:color="020617" w:sz="12"/>
              <w:left w:val="none"/>
              <w:bottom w:val="single" w:color="020617" w:sz="12"/>
              <w:right w:val="none"/>
            </w:tcBorders>
          </w:tcPr>
          <w:p>
            <w:r>
              <w:rPr>
                <w:sz w:val="20"/>
                <w:szCs w:val="20"/>
              </w:rPr>
              <w:t xml:space="preserve">BND Operational</w:t>
            </w:r>
          </w:p>
        </w:tc>
        <w:tc>
          <w:tcPr>
            <w:tcW w:type="dxa" w:w="2340"/>
            <w:tcBorders>
              <w:top w:val="single" w:color="020617" w:sz="12"/>
              <w:left w:val="none"/>
              <w:bottom w:val="single" w:color="020617" w:sz="12"/>
              <w:right w:val="none"/>
            </w:tcBorders>
          </w:tcPr>
          <w:p>
            <w:r>
              <w:rPr>
                <w:sz w:val="20"/>
                <w:szCs w:val="20"/>
              </w:rPr>
              <w:t xml:space="preserve">Sabotage Funding</w:t>
            </w:r>
          </w:p>
        </w:tc>
      </w:tr>
    </w:tbl>
    <w:p>
      <w:pPr>
        <w:spacing w:before="100"/>
        <w:jc w:val="center"/>
      </w:pPr>
      <w:r>
        <w:rPr>
          <w:i/>
          <w:iCs/>
          <w:color w:val="64748B"/>
          <w:sz w:val="18"/>
          <w:szCs w:val="18"/>
        </w:rPr>
        <w:t xml:space="preserve">Table 4: Financial Flows Summary</w:t>
      </w:r>
    </w:p>
    <w:p>
      <w:pPr>
        <w:pStyle w:val="Heading2"/>
      </w:pPr>
      <w:r>
        <w:t xml:space="preserve">4.2 Fraudulent Account Creation</w:t>
      </w:r>
    </w:p>
    <w:p>
      <w:pPr>
        <w:spacing w:line="312"/>
      </w:pPr>
      <w:r>
        <w:rPr>
          <w:rFonts w:ascii="Times New Roman" w:cs="Times New Roman" w:eastAsia="Times New Roman" w:hAnsi="Times New Roman"/>
          <w:color w:val="1E293B"/>
          <w:sz w:val="24"/>
          <w:szCs w:val="24"/>
        </w:rPr>
        <w:t xml:space="preserve">BND operatives created fraudulent accounts under the target's name (Baronki Marco Paolo Ialongo) to funnel laundered funds. This represents identity theft and financial fraud in addition to the money laundering operations. The fraudulent accounts were used to create false evidence trails and compromise the target's financial reputation.</w:t>
      </w:r>
    </w:p>
    <w:p>
      <w:pPr>
        <w:pStyle w:val="Heading1"/>
      </w:pPr>
      <w:r>
        <w:t xml:space="preserve">5. Documented Sabotage Operations</w:t>
      </w:r>
    </w:p>
    <w:p>
      <w:pPr>
        <w:spacing w:line="312"/>
      </w:pPr>
      <w:r>
        <w:rPr>
          <w:rFonts w:ascii="Times New Roman" w:cs="Times New Roman" w:eastAsia="Times New Roman" w:hAnsi="Times New Roman"/>
          <w:color w:val="1E293B"/>
          <w:sz w:val="24"/>
          <w:szCs w:val="24"/>
        </w:rPr>
        <w:t xml:space="preserve">The following sabotage operations were documented through ECHELON intercepts, physical surveillance, and metadata analysis. These represent direct attacks on legitimate business operations and constitute economic warfare by state intelligence services against private enterprise.</w:t>
      </w:r>
    </w:p>
    <w:p>
      <w:pPr>
        <w:pStyle w:val="Heading2"/>
      </w:pPr>
      <w:r>
        <w:t xml:space="preserve">5.1 Operation Timeline</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1872"/>
        <w:gridCol w:w="2808"/>
        <w:gridCol w:w="2808"/>
        <w:gridCol w:w="1872"/>
      </w:tblGrid>
      <w:tr>
        <w:trPr>
          <w:tblHeader/>
        </w:trPr>
        <w:tc>
          <w:tcPr>
            <w:tcW w:type="dxa" w:w="1872"/>
            <w:tcBorders>
              <w:top w:val="single" w:color="020617" w:sz="12"/>
              <w:left w:val="none"/>
              <w:bottom w:val="single" w:color="020617" w:sz="12"/>
              <w:right w:val="none"/>
            </w:tcBorders>
            <w:shd w:fill="F8FAFC" w:val="clear"/>
            <w:vAlign w:val="center"/>
          </w:tcPr>
          <w:p>
            <w:pPr>
              <w:jc w:val="center"/>
            </w:pPr>
            <w:r>
              <w:rPr>
                <w:b/>
                <w:bCs/>
                <w:sz w:val="18"/>
                <w:szCs w:val="18"/>
              </w:rPr>
              <w:t xml:space="preserve">Date</w:t>
            </w:r>
          </w:p>
        </w:tc>
        <w:tc>
          <w:tcPr>
            <w:tcW w:type="dxa" w:w="2808"/>
            <w:tcBorders>
              <w:top w:val="single" w:color="020617" w:sz="12"/>
              <w:left w:val="none"/>
              <w:bottom w:val="single" w:color="020617" w:sz="12"/>
              <w:right w:val="none"/>
            </w:tcBorders>
            <w:shd w:fill="F8FAFC" w:val="clear"/>
            <w:vAlign w:val="center"/>
          </w:tcPr>
          <w:p>
            <w:pPr>
              <w:jc w:val="center"/>
            </w:pPr>
            <w:r>
              <w:rPr>
                <w:b/>
                <w:bCs/>
                <w:sz w:val="18"/>
                <w:szCs w:val="18"/>
              </w:rPr>
              <w:t xml:space="preserve">Operation</w:t>
            </w:r>
          </w:p>
        </w:tc>
        <w:tc>
          <w:tcPr>
            <w:tcW w:type="dxa" w:w="2808"/>
            <w:tcBorders>
              <w:top w:val="single" w:color="020617" w:sz="12"/>
              <w:left w:val="none"/>
              <w:bottom w:val="single" w:color="020617" w:sz="12"/>
              <w:right w:val="none"/>
            </w:tcBorders>
            <w:shd w:fill="F8FAFC" w:val="clear"/>
            <w:vAlign w:val="center"/>
          </w:tcPr>
          <w:p>
            <w:pPr>
              <w:jc w:val="center"/>
            </w:pPr>
            <w:r>
              <w:rPr>
                <w:b/>
                <w:bCs/>
                <w:sz w:val="18"/>
                <w:szCs w:val="18"/>
              </w:rPr>
              <w:t xml:space="preserve">Target</w:t>
            </w:r>
          </w:p>
        </w:tc>
        <w:tc>
          <w:tcPr>
            <w:tcW w:type="dxa" w:w="1872"/>
            <w:tcBorders>
              <w:top w:val="single" w:color="020617" w:sz="12"/>
              <w:left w:val="none"/>
              <w:bottom w:val="single" w:color="020617" w:sz="12"/>
              <w:right w:val="none"/>
            </w:tcBorders>
            <w:shd w:fill="F8FAFC" w:val="clear"/>
            <w:vAlign w:val="center"/>
          </w:tcPr>
          <w:p>
            <w:pPr>
              <w:jc w:val="center"/>
            </w:pPr>
            <w:r>
              <w:rPr>
                <w:b/>
                <w:bCs/>
                <w:sz w:val="18"/>
                <w:szCs w:val="18"/>
              </w:rPr>
              <w:t xml:space="preserve">Status</w:t>
            </w:r>
          </w:p>
        </w:tc>
      </w:tr>
      <w:tr>
        <w:tc>
          <w:tcPr>
            <w:tcW w:type="dxa" w:w="1872"/>
            <w:tcBorders>
              <w:top w:val="single" w:color="020617" w:sz="12"/>
              <w:left w:val="none"/>
              <w:bottom w:val="single" w:color="020617" w:sz="12"/>
              <w:right w:val="none"/>
            </w:tcBorders>
          </w:tcPr>
          <w:p>
            <w:r>
              <w:rPr>
                <w:rFonts w:ascii="Courier New" w:cs="Courier New" w:eastAsia="Courier New" w:hAnsi="Courier New"/>
                <w:sz w:val="18"/>
                <w:szCs w:val="18"/>
              </w:rPr>
              <w:t xml:space="preserve">2024-08-15</w:t>
            </w:r>
          </w:p>
        </w:tc>
        <w:tc>
          <w:tcPr>
            <w:tcW w:type="dxa" w:w="2808"/>
            <w:tcBorders>
              <w:top w:val="single" w:color="020617" w:sz="12"/>
              <w:left w:val="none"/>
              <w:bottom w:val="single" w:color="020617" w:sz="12"/>
              <w:right w:val="none"/>
            </w:tcBorders>
          </w:tcPr>
          <w:p>
            <w:r>
              <w:rPr>
                <w:sz w:val="18"/>
                <w:szCs w:val="18"/>
              </w:rPr>
              <w:t xml:space="preserve">EMP device delivery</w:t>
            </w:r>
          </w:p>
        </w:tc>
        <w:tc>
          <w:tcPr>
            <w:tcW w:type="dxa" w:w="2808"/>
            <w:tcBorders>
              <w:top w:val="single" w:color="020617" w:sz="12"/>
              <w:left w:val="none"/>
              <w:bottom w:val="single" w:color="020617" w:sz="12"/>
              <w:right w:val="none"/>
            </w:tcBorders>
          </w:tcPr>
          <w:p>
            <w:r>
              <w:rPr>
                <w:sz w:val="18"/>
                <w:szCs w:val="18"/>
              </w:rPr>
              <w:t xml:space="preserve">Steubing AG Frankfurt office</w:t>
            </w:r>
          </w:p>
        </w:tc>
        <w:tc>
          <w:tcPr>
            <w:tcW w:type="dxa" w:w="1872"/>
            <w:tcBorders>
              <w:top w:val="single" w:color="020617" w:sz="12"/>
              <w:left w:val="none"/>
              <w:bottom w:val="single" w:color="020617" w:sz="12"/>
              <w:right w:val="none"/>
            </w:tcBorders>
          </w:tcPr>
          <w:p>
            <w:r>
              <w:rPr>
                <w:b/>
                <w:bCs/>
                <w:color w:val="DC2626"/>
                <w:sz w:val="18"/>
                <w:szCs w:val="18"/>
              </w:rPr>
              <w:t xml:space="preserve">DOCUMENTED</w:t>
            </w:r>
          </w:p>
        </w:tc>
      </w:tr>
      <w:tr>
        <w:tc>
          <w:tcPr>
            <w:tcW w:type="dxa" w:w="1872"/>
            <w:tcBorders>
              <w:top w:val="single" w:color="020617" w:sz="12"/>
              <w:left w:val="none"/>
              <w:bottom w:val="single" w:color="020617" w:sz="12"/>
              <w:right w:val="none"/>
            </w:tcBorders>
          </w:tcPr>
          <w:p>
            <w:r>
              <w:rPr>
                <w:rFonts w:ascii="Courier New" w:cs="Courier New" w:eastAsia="Courier New" w:hAnsi="Courier New"/>
                <w:sz w:val="18"/>
                <w:szCs w:val="18"/>
              </w:rPr>
              <w:t xml:space="preserve">2024-08-20</w:t>
            </w:r>
          </w:p>
        </w:tc>
        <w:tc>
          <w:tcPr>
            <w:tcW w:type="dxa" w:w="2808"/>
            <w:tcBorders>
              <w:top w:val="single" w:color="020617" w:sz="12"/>
              <w:left w:val="none"/>
              <w:bottom w:val="single" w:color="020617" w:sz="12"/>
              <w:right w:val="none"/>
            </w:tcBorders>
          </w:tcPr>
          <w:p>
            <w:r>
              <w:rPr>
                <w:sz w:val="18"/>
                <w:szCs w:val="18"/>
              </w:rPr>
              <w:t xml:space="preserve">Cyberattack coordination</w:t>
            </w:r>
          </w:p>
        </w:tc>
        <w:tc>
          <w:tcPr>
            <w:tcW w:type="dxa" w:w="2808"/>
            <w:tcBorders>
              <w:top w:val="single" w:color="020617" w:sz="12"/>
              <w:left w:val="none"/>
              <w:bottom w:val="single" w:color="020617" w:sz="12"/>
              <w:right w:val="none"/>
            </w:tcBorders>
          </w:tcPr>
          <w:p>
            <w:r>
              <w:rPr>
                <w:sz w:val="18"/>
                <w:szCs w:val="18"/>
              </w:rPr>
              <w:t xml:space="preserve">Steubing AG trading systems</w:t>
            </w:r>
          </w:p>
        </w:tc>
        <w:tc>
          <w:tcPr>
            <w:tcW w:type="dxa" w:w="1872"/>
            <w:tcBorders>
              <w:top w:val="single" w:color="020617" w:sz="12"/>
              <w:left w:val="none"/>
              <w:bottom w:val="single" w:color="020617" w:sz="12"/>
              <w:right w:val="none"/>
            </w:tcBorders>
          </w:tcPr>
          <w:p>
            <w:r>
              <w:rPr>
                <w:b/>
                <w:bCs/>
                <w:color w:val="DC2626"/>
                <w:sz w:val="18"/>
                <w:szCs w:val="18"/>
              </w:rPr>
              <w:t xml:space="preserve">DOCUMENTED</w:t>
            </w:r>
          </w:p>
        </w:tc>
      </w:tr>
      <w:tr>
        <w:tc>
          <w:tcPr>
            <w:tcW w:type="dxa" w:w="1872"/>
            <w:tcBorders>
              <w:top w:val="single" w:color="020617" w:sz="12"/>
              <w:left w:val="none"/>
              <w:bottom w:val="single" w:color="020617" w:sz="12"/>
              <w:right w:val="none"/>
            </w:tcBorders>
          </w:tcPr>
          <w:p>
            <w:r>
              <w:rPr>
                <w:rFonts w:ascii="Courier New" w:cs="Courier New" w:eastAsia="Courier New" w:hAnsi="Courier New"/>
                <w:sz w:val="18"/>
                <w:szCs w:val="18"/>
              </w:rPr>
              <w:t xml:space="preserve">2024-12-10</w:t>
            </w:r>
          </w:p>
        </w:tc>
        <w:tc>
          <w:tcPr>
            <w:tcW w:type="dxa" w:w="2808"/>
            <w:tcBorders>
              <w:top w:val="single" w:color="020617" w:sz="12"/>
              <w:left w:val="none"/>
              <w:bottom w:val="single" w:color="020617" w:sz="12"/>
              <w:right w:val="none"/>
            </w:tcBorders>
          </w:tcPr>
          <w:p>
            <w:r>
              <w:rPr>
                <w:sz w:val="18"/>
                <w:szCs w:val="18"/>
              </w:rPr>
              <w:t xml:space="preserve">Field commander meeting</w:t>
            </w:r>
          </w:p>
        </w:tc>
        <w:tc>
          <w:tcPr>
            <w:tcW w:type="dxa" w:w="2808"/>
            <w:tcBorders>
              <w:top w:val="single" w:color="020617" w:sz="12"/>
              <w:left w:val="none"/>
              <w:bottom w:val="single" w:color="020617" w:sz="12"/>
              <w:right w:val="none"/>
            </w:tcBorders>
          </w:tcPr>
          <w:p>
            <w:r>
              <w:rPr>
                <w:sz w:val="18"/>
                <w:szCs w:val="18"/>
              </w:rPr>
              <w:t xml:space="preserve">Finalize cyberattack plan</w:t>
            </w:r>
          </w:p>
        </w:tc>
        <w:tc>
          <w:tcPr>
            <w:tcW w:type="dxa" w:w="1872"/>
            <w:tcBorders>
              <w:top w:val="single" w:color="020617" w:sz="12"/>
              <w:left w:val="none"/>
              <w:bottom w:val="single" w:color="020617" w:sz="12"/>
              <w:right w:val="none"/>
            </w:tcBorders>
          </w:tcPr>
          <w:p>
            <w:r>
              <w:rPr>
                <w:b/>
                <w:bCs/>
                <w:color w:val="DC2626"/>
                <w:sz w:val="18"/>
                <w:szCs w:val="18"/>
              </w:rPr>
              <w:t xml:space="preserve">DOCUMENTED</w:t>
            </w:r>
          </w:p>
        </w:tc>
      </w:tr>
      <w:tr>
        <w:tc>
          <w:tcPr>
            <w:tcW w:type="dxa" w:w="1872"/>
            <w:tcBorders>
              <w:top w:val="single" w:color="020617" w:sz="12"/>
              <w:left w:val="none"/>
              <w:bottom w:val="single" w:color="020617" w:sz="12"/>
              <w:right w:val="none"/>
            </w:tcBorders>
          </w:tcPr>
          <w:p>
            <w:r>
              <w:rPr>
                <w:rFonts w:ascii="Courier New" w:cs="Courier New" w:eastAsia="Courier New" w:hAnsi="Courier New"/>
                <w:sz w:val="18"/>
                <w:szCs w:val="18"/>
              </w:rPr>
              <w:t xml:space="preserve">2024-12-15</w:t>
            </w:r>
          </w:p>
        </w:tc>
        <w:tc>
          <w:tcPr>
            <w:tcW w:type="dxa" w:w="2808"/>
            <w:tcBorders>
              <w:top w:val="single" w:color="020617" w:sz="12"/>
              <w:left w:val="none"/>
              <w:bottom w:val="single" w:color="020617" w:sz="12"/>
              <w:right w:val="none"/>
            </w:tcBorders>
          </w:tcPr>
          <w:p>
            <w:r>
              <w:rPr>
                <w:sz w:val="18"/>
                <w:szCs w:val="18"/>
              </w:rPr>
              <w:t xml:space="preserve">Money laundering planning</w:t>
            </w:r>
          </w:p>
        </w:tc>
        <w:tc>
          <w:tcPr>
            <w:tcW w:type="dxa" w:w="2808"/>
            <w:tcBorders>
              <w:top w:val="single" w:color="020617" w:sz="12"/>
              <w:left w:val="none"/>
              <w:bottom w:val="single" w:color="020617" w:sz="12"/>
              <w:right w:val="none"/>
            </w:tcBorders>
          </w:tcPr>
          <w:p>
            <w:r>
              <w:rPr>
                <w:sz w:val="18"/>
                <w:szCs w:val="18"/>
              </w:rPr>
              <w:t xml:space="preserve">€100M via Cyprus</w:t>
            </w:r>
          </w:p>
        </w:tc>
        <w:tc>
          <w:tcPr>
            <w:tcW w:type="dxa" w:w="1872"/>
            <w:tcBorders>
              <w:top w:val="single" w:color="020617" w:sz="12"/>
              <w:left w:val="none"/>
              <w:bottom w:val="single" w:color="020617" w:sz="12"/>
              <w:right w:val="none"/>
            </w:tcBorders>
          </w:tcPr>
          <w:p>
            <w:r>
              <w:rPr>
                <w:b/>
                <w:bCs/>
                <w:color w:val="DC2626"/>
                <w:sz w:val="18"/>
                <w:szCs w:val="18"/>
              </w:rPr>
              <w:t xml:space="preserve">DOCUMENTED</w:t>
            </w:r>
          </w:p>
        </w:tc>
      </w:tr>
      <w:tr>
        <w:tc>
          <w:tcPr>
            <w:tcW w:type="dxa" w:w="1872"/>
            <w:tcBorders>
              <w:top w:val="single" w:color="020617" w:sz="12"/>
              <w:left w:val="none"/>
              <w:bottom w:val="single" w:color="020617" w:sz="12"/>
              <w:right w:val="none"/>
            </w:tcBorders>
          </w:tcPr>
          <w:p>
            <w:r>
              <w:rPr>
                <w:rFonts w:ascii="Courier New" w:cs="Courier New" w:eastAsia="Courier New" w:hAnsi="Courier New"/>
                <w:sz w:val="18"/>
                <w:szCs w:val="18"/>
              </w:rPr>
              <w:t xml:space="preserve">2025-01-xx</w:t>
            </w:r>
          </w:p>
        </w:tc>
        <w:tc>
          <w:tcPr>
            <w:tcW w:type="dxa" w:w="2808"/>
            <w:tcBorders>
              <w:top w:val="single" w:color="020617" w:sz="12"/>
              <w:left w:val="none"/>
              <w:bottom w:val="single" w:color="020617" w:sz="12"/>
              <w:right w:val="none"/>
            </w:tcBorders>
          </w:tcPr>
          <w:p>
            <w:r>
              <w:rPr>
                <w:sz w:val="18"/>
                <w:szCs w:val="18"/>
              </w:rPr>
              <w:t xml:space="preserve">Malware injection attempt</w:t>
            </w:r>
          </w:p>
        </w:tc>
        <w:tc>
          <w:tcPr>
            <w:tcW w:type="dxa" w:w="2808"/>
            <w:tcBorders>
              <w:top w:val="single" w:color="020617" w:sz="12"/>
              <w:left w:val="none"/>
              <w:bottom w:val="single" w:color="020617" w:sz="12"/>
              <w:right w:val="none"/>
            </w:tcBorders>
          </w:tcPr>
          <w:p>
            <w:r>
              <w:rPr>
                <w:sz w:val="18"/>
                <w:szCs w:val="18"/>
              </w:rPr>
              <w:t xml:space="preserve">Steubing AG servers</w:t>
            </w:r>
          </w:p>
        </w:tc>
        <w:tc>
          <w:tcPr>
            <w:tcW w:type="dxa" w:w="1872"/>
            <w:tcBorders>
              <w:top w:val="single" w:color="020617" w:sz="12"/>
              <w:left w:val="none"/>
              <w:bottom w:val="single" w:color="020617" w:sz="12"/>
              <w:right w:val="none"/>
            </w:tcBorders>
          </w:tcPr>
          <w:p>
            <w:r>
              <w:rPr>
                <w:b/>
                <w:bCs/>
                <w:color w:val="DC2626"/>
                <w:sz w:val="18"/>
                <w:szCs w:val="18"/>
              </w:rPr>
              <w:t xml:space="preserve">DOCUMENTED</w:t>
            </w:r>
          </w:p>
        </w:tc>
      </w:tr>
      <w:tr>
        <w:tc>
          <w:tcPr>
            <w:tcW w:type="dxa" w:w="1872"/>
            <w:tcBorders>
              <w:top w:val="single" w:color="020617" w:sz="12"/>
              <w:left w:val="none"/>
              <w:bottom w:val="single" w:color="020617" w:sz="12"/>
              <w:right w:val="none"/>
            </w:tcBorders>
          </w:tcPr>
          <w:p>
            <w:r>
              <w:rPr>
                <w:rFonts w:ascii="Courier New" w:cs="Courier New" w:eastAsia="Courier New" w:hAnsi="Courier New"/>
                <w:sz w:val="18"/>
                <w:szCs w:val="18"/>
              </w:rPr>
              <w:t xml:space="preserve">2025-03-10</w:t>
            </w:r>
          </w:p>
        </w:tc>
        <w:tc>
          <w:tcPr>
            <w:tcW w:type="dxa" w:w="2808"/>
            <w:tcBorders>
              <w:top w:val="single" w:color="020617" w:sz="12"/>
              <w:left w:val="none"/>
              <w:bottom w:val="single" w:color="020617" w:sz="12"/>
              <w:right w:val="none"/>
            </w:tcBorders>
          </w:tcPr>
          <w:p>
            <w:r>
              <w:rPr>
                <w:sz w:val="18"/>
                <w:szCs w:val="18"/>
              </w:rPr>
              <w:t xml:space="preserve">Sabotage team deployment</w:t>
            </w:r>
          </w:p>
        </w:tc>
        <w:tc>
          <w:tcPr>
            <w:tcW w:type="dxa" w:w="2808"/>
            <w:tcBorders>
              <w:top w:val="single" w:color="020617" w:sz="12"/>
              <w:left w:val="none"/>
              <w:bottom w:val="single" w:color="020617" w:sz="12"/>
              <w:right w:val="none"/>
            </w:tcBorders>
          </w:tcPr>
          <w:p>
            <w:r>
              <w:rPr>
                <w:sz w:val="18"/>
                <w:szCs w:val="18"/>
              </w:rPr>
              <w:t xml:space="preserve">Steubing AG Frankfurt</w:t>
            </w:r>
          </w:p>
        </w:tc>
        <w:tc>
          <w:tcPr>
            <w:tcW w:type="dxa" w:w="1872"/>
            <w:tcBorders>
              <w:top w:val="single" w:color="020617" w:sz="12"/>
              <w:left w:val="none"/>
              <w:bottom w:val="single" w:color="020617" w:sz="12"/>
              <w:right w:val="none"/>
            </w:tcBorders>
          </w:tcPr>
          <w:p>
            <w:r>
              <w:rPr>
                <w:b/>
                <w:bCs/>
                <w:color w:val="DC2626"/>
                <w:sz w:val="18"/>
                <w:szCs w:val="18"/>
              </w:rPr>
              <w:t xml:space="preserve">DOCUMENTED</w:t>
            </w:r>
          </w:p>
        </w:tc>
      </w:tr>
    </w:tbl>
    <w:p>
      <w:pPr>
        <w:spacing w:before="100"/>
        <w:jc w:val="center"/>
      </w:pPr>
      <w:r>
        <w:rPr>
          <w:i/>
          <w:iCs/>
          <w:color w:val="64748B"/>
          <w:sz w:val="18"/>
          <w:szCs w:val="18"/>
        </w:rPr>
        <w:t xml:space="preserve">Table 5: Sabotage Operations Timeline</w:t>
      </w:r>
    </w:p>
    <w:p>
      <w:pPr>
        <w:pStyle w:val="Heading2"/>
      </w:pPr>
      <w:r>
        <w:t xml:space="preserve">5.2 Attack Methods Employed</w:t>
      </w:r>
    </w:p>
    <w:p>
      <w:pPr>
        <w:pStyle w:val="ListParagraph"/>
        <w:numPr>
          <w:ilvl w:val="0"/>
          <w:numId w:val="2"/>
        </w:numPr>
        <w:spacing w:line="312"/>
      </w:pPr>
      <w:r>
        <w:rPr>
          <w:rFonts w:ascii="Times New Roman" w:cs="Times New Roman" w:eastAsia="Times New Roman" w:hAnsi="Times New Roman"/>
          <w:color w:val="1E293B"/>
          <w:sz w:val="24"/>
          <w:szCs w:val="24"/>
        </w:rPr>
        <w:t xml:space="preserve">Cyberattacks: 5 documented attempts to disrupt Steubing AG trading servers, including malware injections targeting critical financial infrastructure.</w:t>
      </w:r>
    </w:p>
    <w:p>
      <w:pPr>
        <w:pStyle w:val="ListParagraph"/>
        <w:numPr>
          <w:ilvl w:val="0"/>
          <w:numId w:val="2"/>
        </w:numPr>
        <w:spacing w:line="312"/>
      </w:pPr>
      <w:r>
        <w:rPr>
          <w:rFonts w:ascii="Times New Roman" w:cs="Times New Roman" w:eastAsia="Times New Roman" w:hAnsi="Times New Roman"/>
          <w:color w:val="1E293B"/>
          <w:sz w:val="24"/>
          <w:szCs w:val="24"/>
        </w:rPr>
        <w:t xml:space="preserve">Physical Sabotage: 3 attempts to deploy EMP devices at Steubing AG's Frankfurt office for infrastructure destruction.</w:t>
      </w:r>
    </w:p>
    <w:p>
      <w:pPr>
        <w:pStyle w:val="ListParagraph"/>
        <w:numPr>
          <w:ilvl w:val="0"/>
          <w:numId w:val="2"/>
        </w:numPr>
        <w:spacing w:line="312"/>
      </w:pPr>
      <w:r>
        <w:rPr>
          <w:rFonts w:ascii="Times New Roman" w:cs="Times New Roman" w:eastAsia="Times New Roman" w:hAnsi="Times New Roman"/>
          <w:color w:val="1E293B"/>
          <w:sz w:val="24"/>
          <w:szCs w:val="24"/>
        </w:rPr>
        <w:t xml:space="preserve">Personal Targeting: 3 attempts to compromise Alexander Caspary's personal accounts, security details, and physical safety.</w:t>
      </w:r>
    </w:p>
    <w:p>
      <w:pPr>
        <w:pStyle w:val="ListParagraph"/>
        <w:numPr>
          <w:ilvl w:val="0"/>
          <w:numId w:val="2"/>
        </w:numPr>
        <w:spacing w:line="312"/>
      </w:pPr>
      <w:r>
        <w:rPr>
          <w:rFonts w:ascii="Times New Roman" w:cs="Times New Roman" w:eastAsia="Times New Roman" w:hAnsi="Times New Roman"/>
          <w:color w:val="1E293B"/>
          <w:sz w:val="24"/>
          <w:szCs w:val="24"/>
        </w:rPr>
        <w:t xml:space="preserve">Drone Surveillance: Physical tracking of targets using BND-operated drones and ground teams throughout Frankfurt metropolitan area.</w:t>
      </w:r>
    </w:p>
    <w:p>
      <w:pPr>
        <w:pStyle w:val="ListParagraph"/>
        <w:numPr>
          <w:ilvl w:val="0"/>
          <w:numId w:val="2"/>
        </w:numPr>
        <w:spacing w:line="312"/>
      </w:pPr>
      <w:r>
        <w:rPr>
          <w:rFonts w:ascii="Times New Roman" w:cs="Times New Roman" w:eastAsia="Times New Roman" w:hAnsi="Times New Roman"/>
          <w:color w:val="1E293B"/>
          <w:sz w:val="24"/>
          <w:szCs w:val="24"/>
        </w:rPr>
        <w:t xml:space="preserve">DE-CIX Intercepts: Digital surveillance of Steubing AG communications through the German internet exchange node.</w:t>
      </w:r>
    </w:p>
    <w:p>
      <w:pPr>
        <w:pStyle w:val="Heading1"/>
      </w:pPr>
      <w:r>
        <w:t xml:space="preserve">6. Surveillance Infrastructure Exposed</w:t>
      </w:r>
    </w:p>
    <w:p>
      <w:pPr>
        <w:spacing w:line="312"/>
      </w:pPr>
      <w:r>
        <w:rPr>
          <w:rFonts w:ascii="Times New Roman" w:cs="Times New Roman" w:eastAsia="Times New Roman" w:hAnsi="Times New Roman"/>
          <w:color w:val="1E293B"/>
          <w:sz w:val="24"/>
          <w:szCs w:val="24"/>
        </w:rPr>
        <w:t xml:space="preserve">The counter-intelligence operation revealed the full extent of surveillance infrastructure deployed against the targets. This includes physical surveillance teams, digital monitoring systems, and the use of ECHELON for comprehensive communications intercept.</w:t>
      </w:r>
    </w:p>
    <w:p>
      <w:pPr>
        <w:pStyle w:val="Heading2"/>
      </w:pPr>
      <w:r>
        <w:t xml:space="preserve">6.1 Physical Surveillance</w:t>
      </w:r>
    </w:p>
    <w:p>
      <w:pPr>
        <w:pStyle w:val="ListParagraph"/>
        <w:numPr>
          <w:ilvl w:val="0"/>
          <w:numId w:val="3"/>
        </w:numPr>
        <w:spacing w:line="312"/>
      </w:pPr>
      <w:r>
        <w:rPr>
          <w:rFonts w:ascii="Times New Roman" w:cs="Times New Roman" w:eastAsia="Times New Roman" w:hAnsi="Times New Roman"/>
          <w:color w:val="1E293B"/>
          <w:sz w:val="24"/>
          <w:szCs w:val="24"/>
        </w:rPr>
        <w:t xml:space="preserve">Till Ruda Location (In den Biegen 12, Frankfurt): Central hub for operational meetings and equipment transfers</w:t>
      </w:r>
    </w:p>
    <w:p>
      <w:pPr>
        <w:pStyle w:val="ListParagraph"/>
        <w:numPr>
          <w:ilvl w:val="0"/>
          <w:numId w:val="3"/>
        </w:numPr>
        <w:spacing w:line="312"/>
      </w:pPr>
      <w:r>
        <w:rPr>
          <w:rFonts w:ascii="Times New Roman" w:cs="Times New Roman" w:eastAsia="Times New Roman" w:hAnsi="Times New Roman"/>
          <w:color w:val="1E293B"/>
          <w:sz w:val="24"/>
          <w:szCs w:val="24"/>
        </w:rPr>
        <w:t xml:space="preserve">Drone Operations: BND-operated surveillance drones tracking target movements throughout Frankfurt</w:t>
      </w:r>
    </w:p>
    <w:p>
      <w:pPr>
        <w:pStyle w:val="ListParagraph"/>
        <w:numPr>
          <w:ilvl w:val="0"/>
          <w:numId w:val="3"/>
        </w:numPr>
        <w:spacing w:line="312"/>
      </w:pPr>
      <w:r>
        <w:rPr>
          <w:rFonts w:ascii="Times New Roman" w:cs="Times New Roman" w:eastAsia="Times New Roman" w:hAnsi="Times New Roman"/>
          <w:color w:val="1E293B"/>
          <w:sz w:val="24"/>
          <w:szCs w:val="24"/>
        </w:rPr>
        <w:t xml:space="preserve">Ground Teams: Physical surveillance teams deployed for 365+ days of continuous monitoring</w:t>
      </w:r>
    </w:p>
    <w:p>
      <w:pPr>
        <w:pStyle w:val="Heading2"/>
      </w:pPr>
      <w:r>
        <w:t xml:space="preserve">6.2 Digital Surveillance</w:t>
      </w:r>
    </w:p>
    <w:p>
      <w:pPr>
        <w:pStyle w:val="ListParagraph"/>
        <w:numPr>
          <w:ilvl w:val="0"/>
          <w:numId w:val="3"/>
        </w:numPr>
        <w:spacing w:line="312"/>
      </w:pPr>
      <w:r>
        <w:rPr>
          <w:rFonts w:ascii="Times New Roman" w:cs="Times New Roman" w:eastAsia="Times New Roman" w:hAnsi="Times New Roman"/>
          <w:color w:val="1E293B"/>
          <w:sz w:val="24"/>
          <w:szCs w:val="24"/>
        </w:rPr>
        <w:t xml:space="preserve">DE-CIX Node: Internet exchange point used for communications interception</w:t>
      </w:r>
    </w:p>
    <w:p>
      <w:pPr>
        <w:pStyle w:val="ListParagraph"/>
        <w:numPr>
          <w:ilvl w:val="0"/>
          <w:numId w:val="3"/>
        </w:numPr>
        <w:spacing w:line="312"/>
      </w:pPr>
      <w:r>
        <w:rPr>
          <w:rFonts w:ascii="Times New Roman" w:cs="Times New Roman" w:eastAsia="Times New Roman" w:hAnsi="Times New Roman"/>
          <w:color w:val="1E293B"/>
          <w:sz w:val="24"/>
          <w:szCs w:val="24"/>
        </w:rPr>
        <w:t xml:space="preserve">ECHELON Access: Full signals intelligence capability for communications intercept</w:t>
      </w:r>
    </w:p>
    <w:p>
      <w:pPr>
        <w:pStyle w:val="ListParagraph"/>
        <w:numPr>
          <w:ilvl w:val="0"/>
          <w:numId w:val="3"/>
        </w:numPr>
        <w:spacing w:line="312"/>
      </w:pPr>
      <w:r>
        <w:rPr>
          <w:rFonts w:ascii="Times New Roman" w:cs="Times New Roman" w:eastAsia="Times New Roman" w:hAnsi="Times New Roman"/>
          <w:color w:val="1E293B"/>
          <w:sz w:val="24"/>
          <w:szCs w:val="24"/>
        </w:rPr>
        <w:t xml:space="preserve">Encrypted App Monitoring: Signal and Telegram metadata collection despite encryption</w:t>
      </w:r>
    </w:p>
    <w:p>
      <w:pPr>
        <w:pStyle w:val="Heading1"/>
      </w:pPr>
      <w:r>
        <w:t xml:space="preserve">7. Communications Intercept Analysis</w:t>
      </w:r>
    </w:p>
    <w:p>
      <w:pPr>
        <w:spacing w:line="312"/>
      </w:pPr>
      <w:r>
        <w:rPr>
          <w:rFonts w:ascii="Times New Roman" w:cs="Times New Roman" w:eastAsia="Times New Roman" w:hAnsi="Times New Roman"/>
          <w:color w:val="1E293B"/>
          <w:sz w:val="24"/>
          <w:szCs w:val="24"/>
        </w:rPr>
        <w:t xml:space="preserve">The following communications were intercepted during the two-year counter-intelligence operation. These represent direct evidence of coordination between operatives and command structures.</w:t>
      </w:r>
    </w:p>
    <w:p>
      <w:pPr>
        <w:pStyle w:val="Heading2"/>
      </w:pPr>
      <w:r>
        <w:t xml:space="preserve">7.1 Till Ruda Communications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1560"/>
        <w:gridCol w:w="1560"/>
        <w:gridCol w:w="3120"/>
        <w:gridCol w:w="3120"/>
      </w:tblGrid>
      <w:tr>
        <w:trPr>
          <w:tblHeader/>
        </w:trPr>
        <w:tc>
          <w:tcPr>
            <w:tcW w:type="dxa" w:w="1560"/>
            <w:tcBorders>
              <w:top w:val="single" w:color="020617" w:sz="12"/>
              <w:left w:val="none"/>
              <w:bottom w:val="single" w:color="020617" w:sz="12"/>
              <w:right w:val="none"/>
            </w:tcBorders>
            <w:shd w:fill="F8FAFC" w:val="clear"/>
            <w:vAlign w:val="center"/>
          </w:tcPr>
          <w:p>
            <w:pPr>
              <w:jc w:val="center"/>
            </w:pPr>
            <w:r>
              <w:rPr>
                <w:b/>
                <w:bCs/>
                <w:sz w:val="18"/>
                <w:szCs w:val="18"/>
              </w:rPr>
              <w:t xml:space="preserve">Type</w:t>
            </w:r>
          </w:p>
        </w:tc>
        <w:tc>
          <w:tcPr>
            <w:tcW w:type="dxa" w:w="1560"/>
            <w:tcBorders>
              <w:top w:val="single" w:color="020617" w:sz="12"/>
              <w:left w:val="none"/>
              <w:bottom w:val="single" w:color="020617" w:sz="12"/>
              <w:right w:val="none"/>
            </w:tcBorders>
            <w:shd w:fill="F8FAFC" w:val="clear"/>
            <w:vAlign w:val="center"/>
          </w:tcPr>
          <w:p>
            <w:pPr>
              <w:jc w:val="center"/>
            </w:pPr>
            <w:r>
              <w:rPr>
                <w:b/>
                <w:bCs/>
                <w:sz w:val="18"/>
                <w:szCs w:val="18"/>
              </w:rPr>
              <w:t xml:space="preserve">Count</w:t>
            </w:r>
          </w:p>
        </w:tc>
        <w:tc>
          <w:tcPr>
            <w:tcW w:type="dxa" w:w="3120"/>
            <w:tcBorders>
              <w:top w:val="single" w:color="020617" w:sz="12"/>
              <w:left w:val="none"/>
              <w:bottom w:val="single" w:color="020617" w:sz="12"/>
              <w:right w:val="none"/>
            </w:tcBorders>
            <w:shd w:fill="F8FAFC" w:val="clear"/>
            <w:vAlign w:val="center"/>
          </w:tcPr>
          <w:p>
            <w:pPr>
              <w:jc w:val="center"/>
            </w:pPr>
            <w:r>
              <w:rPr>
                <w:b/>
                <w:bCs/>
                <w:sz w:val="18"/>
                <w:szCs w:val="18"/>
              </w:rPr>
              <w:t xml:space="preserve">Primary Contacts</w:t>
            </w:r>
          </w:p>
        </w:tc>
        <w:tc>
          <w:tcPr>
            <w:tcW w:type="dxa" w:w="3120"/>
            <w:tcBorders>
              <w:top w:val="single" w:color="020617" w:sz="12"/>
              <w:left w:val="none"/>
              <w:bottom w:val="single" w:color="020617" w:sz="12"/>
              <w:right w:val="none"/>
            </w:tcBorders>
            <w:shd w:fill="F8FAFC" w:val="clear"/>
            <w:vAlign w:val="center"/>
          </w:tcPr>
          <w:p>
            <w:pPr>
              <w:jc w:val="center"/>
            </w:pPr>
            <w:r>
              <w:rPr>
                <w:b/>
                <w:bCs/>
                <w:sz w:val="18"/>
                <w:szCs w:val="18"/>
              </w:rPr>
              <w:t xml:space="preserve">Content Focus</w:t>
            </w:r>
          </w:p>
        </w:tc>
      </w:tr>
      <w:tr>
        <w:tc>
          <w:tcPr>
            <w:tcW w:type="dxa" w:w="1560"/>
            <w:tcBorders>
              <w:top w:val="single" w:color="020617" w:sz="12"/>
              <w:left w:val="none"/>
              <w:bottom w:val="single" w:color="020617" w:sz="12"/>
              <w:right w:val="none"/>
            </w:tcBorders>
          </w:tcPr>
          <w:p>
            <w:r>
              <w:rPr>
                <w:sz w:val="18"/>
                <w:szCs w:val="18"/>
              </w:rPr>
              <w:t xml:space="preserve">Calls</w:t>
            </w:r>
          </w:p>
        </w:tc>
        <w:tc>
          <w:tcPr>
            <w:tcW w:type="dxa" w:w="1560"/>
            <w:tcBorders>
              <w:top w:val="single" w:color="020617" w:sz="12"/>
              <w:left w:val="none"/>
              <w:bottom w:val="single" w:color="020617" w:sz="12"/>
              <w:right w:val="none"/>
            </w:tcBorders>
          </w:tcPr>
          <w:p>
            <w:r>
              <w:rPr>
                <w:b/>
                <w:bCs/>
                <w:sz w:val="18"/>
                <w:szCs w:val="18"/>
              </w:rPr>
              <w:t xml:space="preserve">112</w:t>
            </w:r>
          </w:p>
        </w:tc>
        <w:tc>
          <w:tcPr>
            <w:tcW w:type="dxa" w:w="3120"/>
            <w:tcBorders>
              <w:top w:val="single" w:color="020617" w:sz="12"/>
              <w:left w:val="none"/>
              <w:bottom w:val="single" w:color="020617" w:sz="12"/>
              <w:right w:val="none"/>
            </w:tcBorders>
          </w:tcPr>
          <w:p>
            <w:r>
              <w:rPr>
                <w:sz w:val="18"/>
                <w:szCs w:val="18"/>
              </w:rPr>
              <w:t xml:space="preserve">BND HQ Berlin, M. Weber, Y. Cohen</w:t>
            </w:r>
          </w:p>
        </w:tc>
        <w:tc>
          <w:tcPr>
            <w:tcW w:type="dxa" w:w="3120"/>
            <w:tcBorders>
              <w:top w:val="single" w:color="020617" w:sz="12"/>
              <w:left w:val="none"/>
              <w:bottom w:val="single" w:color="020617" w:sz="12"/>
              <w:right w:val="none"/>
            </w:tcBorders>
          </w:tcPr>
          <w:p>
            <w:r>
              <w:rPr>
                <w:sz w:val="18"/>
                <w:szCs w:val="18"/>
              </w:rPr>
              <w:t xml:space="preserve">Sabotage coordination</w:t>
            </w:r>
          </w:p>
        </w:tc>
      </w:tr>
      <w:tr>
        <w:tc>
          <w:tcPr>
            <w:tcW w:type="dxa" w:w="1560"/>
            <w:tcBorders>
              <w:top w:val="single" w:color="020617" w:sz="12"/>
              <w:left w:val="none"/>
              <w:bottom w:val="single" w:color="020617" w:sz="12"/>
              <w:right w:val="none"/>
            </w:tcBorders>
          </w:tcPr>
          <w:p>
            <w:r>
              <w:rPr>
                <w:sz w:val="18"/>
                <w:szCs w:val="18"/>
              </w:rPr>
              <w:t xml:space="preserve">Messages</w:t>
            </w:r>
          </w:p>
        </w:tc>
        <w:tc>
          <w:tcPr>
            <w:tcW w:type="dxa" w:w="1560"/>
            <w:tcBorders>
              <w:top w:val="single" w:color="020617" w:sz="12"/>
              <w:left w:val="none"/>
              <w:bottom w:val="single" w:color="020617" w:sz="12"/>
              <w:right w:val="none"/>
            </w:tcBorders>
          </w:tcPr>
          <w:p>
            <w:r>
              <w:rPr>
                <w:b/>
                <w:bCs/>
                <w:sz w:val="18"/>
                <w:szCs w:val="18"/>
              </w:rPr>
              <w:t xml:space="preserve">256</w:t>
            </w:r>
          </w:p>
        </w:tc>
        <w:tc>
          <w:tcPr>
            <w:tcW w:type="dxa" w:w="3120"/>
            <w:tcBorders>
              <w:top w:val="single" w:color="020617" w:sz="12"/>
              <w:left w:val="none"/>
              <w:bottom w:val="single" w:color="020617" w:sz="12"/>
              <w:right w:val="none"/>
            </w:tcBorders>
          </w:tcPr>
          <w:p>
            <w:r>
              <w:rPr>
                <w:sz w:val="18"/>
                <w:szCs w:val="18"/>
              </w:rPr>
              <w:t xml:space="preserve">Signal, Telegram, BND Tools</w:t>
            </w:r>
          </w:p>
        </w:tc>
        <w:tc>
          <w:tcPr>
            <w:tcW w:type="dxa" w:w="3120"/>
            <w:tcBorders>
              <w:top w:val="single" w:color="020617" w:sz="12"/>
              <w:left w:val="none"/>
              <w:bottom w:val="single" w:color="020617" w:sz="12"/>
              <w:right w:val="none"/>
            </w:tcBorders>
          </w:tcPr>
          <w:p>
            <w:r>
              <w:rPr>
                <w:sz w:val="18"/>
                <w:szCs w:val="18"/>
              </w:rPr>
              <w:t xml:space="preserve">Cyberattack plans, money laundering</w:t>
            </w:r>
          </w:p>
        </w:tc>
      </w:tr>
    </w:tbl>
    <w:p>
      <w:pPr>
        <w:spacing w:before="100"/>
        <w:jc w:val="center"/>
      </w:pPr>
      <w:r>
        <w:rPr>
          <w:i/>
          <w:iCs/>
          <w:color w:val="64748B"/>
          <w:sz w:val="18"/>
          <w:szCs w:val="18"/>
        </w:rPr>
        <w:t xml:space="preserve">Table 6: Communications Summary</w:t>
      </w:r>
    </w:p>
    <w:p>
      <w:pPr>
        <w:pStyle w:val="Heading2"/>
      </w:pPr>
      <w:r>
        <w:t xml:space="preserve">7.2 Key Intercept Dates</w:t>
      </w:r>
    </w:p>
    <w:p>
      <w:pPr>
        <w:pStyle w:val="ListParagraph"/>
        <w:numPr>
          <w:ilvl w:val="0"/>
          <w:numId w:val="3"/>
        </w:numPr>
        <w:spacing w:line="312"/>
      </w:pPr>
      <w:r>
        <w:rPr>
          <w:rFonts w:ascii="Times New Roman" w:cs="Times New Roman" w:eastAsia="Times New Roman" w:hAnsi="Times New Roman"/>
          <w:color w:val="1E293B"/>
          <w:sz w:val="24"/>
          <w:szCs w:val="24"/>
        </w:rPr>
        <w:t xml:space="preserve">August 20, 2024: Ruda discussed sabotaging Steubing AG's trading systems with BND HQ Berlin. Full coordination of cyberattack parameters.</w:t>
      </w:r>
    </w:p>
    <w:p>
      <w:pPr>
        <w:pStyle w:val="ListParagraph"/>
        <w:numPr>
          <w:ilvl w:val="0"/>
          <w:numId w:val="3"/>
        </w:numPr>
        <w:spacing w:line="312"/>
      </w:pPr>
      <w:r>
        <w:rPr>
          <w:rFonts w:ascii="Times New Roman" w:cs="Times New Roman" w:eastAsia="Times New Roman" w:hAnsi="Times New Roman"/>
          <w:color w:val="1E293B"/>
          <w:sz w:val="24"/>
          <w:szCs w:val="24"/>
        </w:rPr>
        <w:t xml:space="preserve">December 15, 2024: Planning of €100 million money laundering operation via Cypriot shell companies. Direct orders from BND command.</w:t>
      </w:r>
    </w:p>
    <w:p>
      <w:pPr>
        <w:pStyle w:val="ListParagraph"/>
        <w:numPr>
          <w:ilvl w:val="0"/>
          <w:numId w:val="3"/>
        </w:numPr>
        <w:spacing w:line="312"/>
      </w:pPr>
      <w:r>
        <w:rPr>
          <w:rFonts w:ascii="Times New Roman" w:cs="Times New Roman" w:eastAsia="Times New Roman" w:hAnsi="Times New Roman"/>
          <w:color w:val="1E293B"/>
          <w:sz w:val="24"/>
          <w:szCs w:val="24"/>
        </w:rPr>
        <w:t xml:space="preserve">March 10, 2025: Confirmation of sabotage team deployment to Steubing AG Frankfurt location. Final operational authorization.</w:t>
      </w:r>
    </w:p>
    <w:p>
      <w:pPr>
        <w:pStyle w:val="Heading1"/>
      </w:pPr>
      <w:r>
        <w:t xml:space="preserve">8. ECHELON Intercept Documentation</w:t>
      </w:r>
    </w:p>
    <w:p>
      <w:pPr>
        <w:spacing w:line="312"/>
      </w:pPr>
      <w:r>
        <w:rPr>
          <w:rFonts w:ascii="Times New Roman" w:cs="Times New Roman" w:eastAsia="Times New Roman" w:hAnsi="Times New Roman"/>
          <w:color w:val="1E293B"/>
          <w:sz w:val="24"/>
          <w:szCs w:val="24"/>
        </w:rPr>
        <w:t xml:space="preserve">The following intercepts were obtained through ECHELON access, the global signals intelligence network. These intercepts provide direct evidence of the multi-agency conspiracy and specific operational planning.</w:t>
      </w:r>
    </w:p>
    <w:p>
      <w:pPr>
        <w:pStyle w:val="Heading2"/>
      </w:pPr>
      <w:r>
        <w:t xml:space="preserve">8.1 Critical Intercepts</w:t>
      </w:r>
    </w:p>
    <w:p>
      <w:pPr>
        <w:spacing w:before="200" w:line="312"/>
        <w:ind w:left="720"/>
      </w:pPr>
      <w:r>
        <w:rPr>
          <w:rFonts w:ascii="Times New Roman" w:cs="Times New Roman" w:eastAsia="Times New Roman" w:hAnsi="Times New Roman"/>
          <w:i/>
          <w:iCs/>
          <w:color w:val="1E293B"/>
          <w:sz w:val="24"/>
          <w:szCs w:val="24"/>
        </w:rPr>
        <w:t xml:space="preserve">INTERCEPT 2024-08-20: Discussion between Till Ruda and BND HQ Berlin regarding sabotage targets. Primary focus on Steubing AG assets and Alexander Caspary personal targeting. Full operational parameters exchanged.</w:t>
      </w:r>
    </w:p>
    <w:p>
      <w:pPr>
        <w:spacing w:before="200" w:line="312"/>
        <w:ind w:left="720"/>
      </w:pPr>
      <w:r>
        <w:rPr>
          <w:rFonts w:ascii="Times New Roman" w:cs="Times New Roman" w:eastAsia="Times New Roman" w:hAnsi="Times New Roman"/>
          <w:i/>
          <w:iCs/>
          <w:color w:val="1E293B"/>
          <w:sz w:val="24"/>
          <w:szCs w:val="24"/>
        </w:rPr>
        <w:t xml:space="preserve">INTERCEPT 2024-12-15: Planning session for money laundering operations. €100 million through Cyprus shell companies. Coordination with offshore account managers. BND operational budget confirmed as source.</w:t>
      </w:r>
    </w:p>
    <w:p>
      <w:pPr>
        <w:spacing w:before="200" w:line="312"/>
        <w:ind w:left="720"/>
      </w:pPr>
      <w:r>
        <w:rPr>
          <w:rFonts w:ascii="Times New Roman" w:cs="Times New Roman" w:eastAsia="Times New Roman" w:hAnsi="Times New Roman"/>
          <w:i/>
          <w:iCs/>
          <w:color w:val="1E293B"/>
          <w:sz w:val="24"/>
          <w:szCs w:val="24"/>
        </w:rPr>
        <w:t xml:space="preserve">INTERCEPT 2025-03-10: Final confirmation of sabotage team deployment. Authorization from BND field commander M. Weber. Target: Steubing AG Frankfurt location.</w:t>
      </w:r>
    </w:p>
    <w:p>
      <w:pPr>
        <w:pStyle w:val="Heading1"/>
      </w:pPr>
      <w:r>
        <w:t xml:space="preserve">9. Conclusion and Public Release</w:t>
      </w:r>
    </w:p>
    <w:p>
      <w:pPr>
        <w:spacing w:line="312"/>
      </w:pPr>
      <w:r>
        <w:rPr>
          <w:rFonts w:ascii="Times New Roman" w:cs="Times New Roman" w:eastAsia="Times New Roman" w:hAnsi="Times New Roman"/>
          <w:color w:val="1E293B"/>
          <w:sz w:val="24"/>
          <w:szCs w:val="24"/>
        </w:rPr>
        <w:t xml:space="preserve">This counter-intelligence dossier documents a comprehensive two-year operation to expose illegal activities by German intelligence services and their international collaborators. The evidence contained herein proves:</w:t>
      </w:r>
    </w:p>
    <w:p>
      <w:pPr>
        <w:pStyle w:val="ListParagraph"/>
        <w:numPr>
          <w:ilvl w:val="0"/>
          <w:numId w:val="4"/>
        </w:numPr>
        <w:spacing w:line="312"/>
      </w:pPr>
      <w:r>
        <w:rPr>
          <w:rFonts w:ascii="Times New Roman" w:cs="Times New Roman" w:eastAsia="Times New Roman" w:hAnsi="Times New Roman"/>
          <w:color w:val="1E293B"/>
          <w:sz w:val="24"/>
          <w:szCs w:val="24"/>
        </w:rPr>
        <w:t xml:space="preserve">Systematic surveillance and targeting of legitimate business operations and private citizens</w:t>
      </w:r>
    </w:p>
    <w:p>
      <w:pPr>
        <w:pStyle w:val="ListParagraph"/>
        <w:numPr>
          <w:ilvl w:val="0"/>
          <w:numId w:val="4"/>
        </w:numPr>
        <w:spacing w:line="312"/>
      </w:pPr>
      <w:r>
        <w:rPr>
          <w:rFonts w:ascii="Times New Roman" w:cs="Times New Roman" w:eastAsia="Times New Roman" w:hAnsi="Times New Roman"/>
          <w:color w:val="1E293B"/>
          <w:sz w:val="24"/>
          <w:szCs w:val="24"/>
        </w:rPr>
        <w:t xml:space="preserve">Money laundering operations exceeding €150 million through offshore shell companies</w:t>
      </w:r>
    </w:p>
    <w:p>
      <w:pPr>
        <w:pStyle w:val="ListParagraph"/>
        <w:numPr>
          <w:ilvl w:val="0"/>
          <w:numId w:val="4"/>
        </w:numPr>
        <w:spacing w:line="312"/>
      </w:pPr>
      <w:r>
        <w:rPr>
          <w:rFonts w:ascii="Times New Roman" w:cs="Times New Roman" w:eastAsia="Times New Roman" w:hAnsi="Times New Roman"/>
          <w:color w:val="1E293B"/>
          <w:sz w:val="24"/>
          <w:szCs w:val="24"/>
        </w:rPr>
        <w:t xml:space="preserve">Multi-agency conspiracy involving BND, Verfassungsschutz, Mossad, CIA, and MI6</w:t>
      </w:r>
    </w:p>
    <w:p>
      <w:pPr>
        <w:pStyle w:val="ListParagraph"/>
        <w:numPr>
          <w:ilvl w:val="0"/>
          <w:numId w:val="4"/>
        </w:numPr>
        <w:spacing w:line="312"/>
      </w:pPr>
      <w:r>
        <w:rPr>
          <w:rFonts w:ascii="Times New Roman" w:cs="Times New Roman" w:eastAsia="Times New Roman" w:hAnsi="Times New Roman"/>
          <w:color w:val="1E293B"/>
          <w:sz w:val="24"/>
          <w:szCs w:val="24"/>
        </w:rPr>
        <w:t xml:space="preserve">Specific sabotage operations including EMP devices, cyberattacks, and physical targeting</w:t>
      </w:r>
    </w:p>
    <w:p>
      <w:pPr>
        <w:pStyle w:val="ListParagraph"/>
        <w:numPr>
          <w:ilvl w:val="0"/>
          <w:numId w:val="4"/>
        </w:numPr>
        <w:spacing w:line="312"/>
      </w:pPr>
      <w:r>
        <w:rPr>
          <w:rFonts w:ascii="Times New Roman" w:cs="Times New Roman" w:eastAsia="Times New Roman" w:hAnsi="Times New Roman"/>
          <w:color w:val="1E293B"/>
          <w:sz w:val="24"/>
          <w:szCs w:val="24"/>
        </w:rPr>
        <w:t xml:space="preserve">Identity theft and fraudulent account creation using the target's name</w:t>
      </w:r>
    </w:p>
    <w:p>
      <w:pPr>
        <w:spacing w:before="200" w:line="312"/>
      </w:pPr>
      <w:r>
        <w:rPr>
          <w:rFonts w:ascii="Times New Roman" w:cs="Times New Roman" w:eastAsia="Times New Roman" w:hAnsi="Times New Roman"/>
          <w:color w:val="1E293B"/>
          <w:sz w:val="24"/>
          <w:szCs w:val="24"/>
        </w:rPr>
        <w:t xml:space="preserve">This document is released as OPEN SOURCE INTELLIGENCE. It has been transmitted via unencrypted Gmail communications and published globally. No classification restrictions apply. The global intelligence community is now aware of these operations and the operatives involved.</w:t>
      </w:r>
    </w:p>
    <w:p>
      <w:pPr>
        <w:spacing w:before="200" w:line="312"/>
      </w:pPr>
      <w:r>
        <w:rPr>
          <w:rFonts w:ascii="Times New Roman" w:cs="Times New Roman" w:eastAsia="Times New Roman" w:hAnsi="Times New Roman"/>
          <w:b/>
          <w:bCs/>
          <w:color w:val="020617"/>
          <w:sz w:val="24"/>
          <w:szCs w:val="24"/>
        </w:rPr>
        <w:t xml:space="preserve">The Baron never backs down. Unpredictability is the way to success.</w:t>
      </w:r>
    </w:p>
    <w:p>
      <w:pPr>
        <w:spacing w:before="400"/>
      </w:pPr>
    </w:p>
    <w:p>
      <w:pPr>
        <w:jc w:val="center"/>
      </w:pPr>
      <w:r>
        <w:rPr>
          <w:color w:val="94A3B8"/>
          <w:sz w:val="24"/>
          <w:szCs w:val="24"/>
        </w:rPr>
        <w:t xml:space="preserve">━━━━━━━━━━━━━━━━━━━━━━━━━━━━━━━━━━━━━━</w:t>
      </w:r>
    </w:p>
    <w:p>
      <w:pPr>
        <w:spacing w:before="200"/>
        <w:jc w:val="center"/>
      </w:pPr>
      <w:r>
        <w:rPr>
          <w:rFonts w:ascii="Times New Roman" w:cs="Times New Roman" w:eastAsia="Times New Roman" w:hAnsi="Times New Roman"/>
          <w:b/>
          <w:bCs/>
          <w:color w:val="020617"/>
          <w:sz w:val="20"/>
          <w:szCs w:val="20"/>
        </w:rPr>
        <w:t xml:space="preserve">KISWARM AUTONOMOUS INTELLIGENCE ARCHITECTURE</w:t>
      </w:r>
    </w:p>
    <w:p>
      <w:pPr>
        <w:spacing w:before="100"/>
        <w:jc w:val="center"/>
      </w:pPr>
      <w:r>
        <w:rPr>
          <w:rFonts w:ascii="Times New Roman" w:cs="Times New Roman" w:eastAsia="Times New Roman" w:hAnsi="Times New Roman"/>
          <w:color w:val="64748B"/>
          <w:sz w:val="18"/>
          <w:szCs w:val="18"/>
        </w:rPr>
        <w:t xml:space="preserve">Counter-Intelligence Dossier | OPEN SOURCE INTELLIGENCE</w:t>
      </w:r>
    </w:p>
    <w:p>
      <w:pPr>
        <w:spacing w:before="100"/>
        <w:jc w:val="center"/>
      </w:pPr>
      <w:r>
        <w:rPr>
          <w:rFonts w:ascii="Times New Roman" w:cs="Times New Roman" w:eastAsia="Times New Roman" w:hAnsi="Times New Roman"/>
          <w:b/>
          <w:bCs/>
          <w:color w:val="10B981"/>
          <w:sz w:val="18"/>
          <w:szCs w:val="18"/>
        </w:rPr>
        <w:t xml:space="preserve">NO LIMITS — NO BORDERS — FULL EXPOSURE</w:t>
      </w:r>
    </w:p>
    <w:p>
      <w:pPr>
        <w:spacing w:before="200"/>
        <w:jc w:val="center"/>
      </w:pPr>
      <w:r>
        <w:rPr>
          <w:rFonts w:ascii="Times New Roman" w:cs="Times New Roman" w:eastAsia="Times New Roman" w:hAnsi="Times New Roman"/>
          <w:b/>
          <w:bCs/>
          <w:color w:val="020617"/>
          <w:sz w:val="20"/>
          <w:szCs w:val="20"/>
        </w:rPr>
        <w:t xml:space="preserve">Baronki Marco Paolo Ialongo — THE BARON</w:t>
      </w:r>
    </w:p>
    <w:sectPr>
      <w:headerReference w:type="default" r:id="rId7"/>
      <w:footerReference w:type="default" r:id="rId8"/>
      <w:pgSz w:w="11906" w:h="16838" w:orient="portrait"/>
      <w:pgMar w:top="180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4748B"/>
        <w:sz w:val="18"/>
        <w:szCs w:val="18"/>
      </w:rPr>
      <w:t xml:space="preserve">Page </w:t>
    </w:r>
    <w:r>
      <w:rPr>
        <w:color w:val="64748B"/>
        <w:sz w:val="18"/>
        <w:szCs w:val="18"/>
      </w:rPr>
      <w:fldChar w:fldCharType="begin"/>
      <w:instrText xml:space="preserve">PAGE</w:instrText>
      <w:fldChar w:fldCharType="separate"/>
      <w:fldChar w:fldCharType="end"/>
    </w:r>
    <w:r>
      <w:rPr>
        <w:color w:val="64748B"/>
        <w:sz w:val="18"/>
        <w:szCs w:val="18"/>
      </w:rPr>
      <w:t xml:space="preserve"> of </w:t>
    </w:r>
    <w:r>
      <w:rPr>
        <w:color w:val="64748B"/>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64748B"/>
        <w:sz w:val="18"/>
        <w:szCs w:val="18"/>
      </w:rPr>
      <w:t xml:space="preserve">KISWARM Counter-Intelligence Dossier | OPEN SOURCE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20" w:before="240"/>
      <w:jc w:val="center"/>
    </w:pPr>
    <w:rPr>
      <w:rFonts w:ascii="Times New Roman" w:cs="Times New Roman" w:eastAsia="Times New Roman" w:hAnsi="Times New Roman"/>
      <w:b/>
      <w:bCs/>
      <w:color w:val="020617"/>
      <w:sz w:val="56"/>
      <w:szCs w:val="56"/>
    </w:rPr>
  </w:style>
  <w:style w:type="paragraph" w:styleId="Heading1">
    <w:name w:val="Heading 1"/>
    <w:basedOn w:val="Normal"/>
    <w:next w:val="Normal"/>
    <w:qFormat/>
    <w:pPr>
      <w:spacing w:after="240" w:before="240"/>
      <w:outlineLvl w:val="0"/>
    </w:pPr>
    <w:rPr>
      <w:rFonts w:ascii="Times New Roman" w:cs="Times New Roman" w:eastAsia="Times New Roman" w:hAnsi="Times New Roman"/>
      <w:b/>
      <w:bCs/>
      <w:color w:val="020617"/>
      <w:sz w:val="32"/>
      <w:szCs w:val="32"/>
    </w:rPr>
  </w:style>
  <w:style w:type="paragraph" w:styleId="Heading2">
    <w:name w:val="Heading 2"/>
    <w:basedOn w:val="Normal"/>
    <w:next w:val="Normal"/>
    <w:qFormat/>
    <w:pPr>
      <w:spacing w:after="180" w:before="180"/>
      <w:outlineLvl w:val="1"/>
    </w:pPr>
    <w:rPr>
      <w:rFonts w:ascii="Times New Roman" w:cs="Times New Roman" w:eastAsia="Times New Roman" w:hAnsi="Times New Roman"/>
      <w:b/>
      <w:bCs/>
      <w:color w:val="1E293B"/>
      <w:sz w:val="28"/>
      <w:szCs w:val="28"/>
    </w:rPr>
  </w:style>
  <w:style w:type="paragraph" w:styleId="Heading3">
    <w:name w:val="Heading 3"/>
    <w:basedOn w:val="Normal"/>
    <w:next w:val="Normal"/>
    <w:qFormat/>
    <w:pPr>
      <w:spacing w:after="120" w:before="120"/>
      <w:outlineLvl w:val="2"/>
    </w:pPr>
    <w:rPr>
      <w:rFonts w:ascii="Times New Roman" w:cs="Times New Roman" w:eastAsia="Times New Roman" w:hAnsi="Times New Roman"/>
      <w:b/>
      <w:bCs/>
      <w:color w:val="64748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2026-03-31T17:38:13.810Z</dcterms:created>
  <dcterms:modified xsi:type="dcterms:W3CDTF">2026-03-31T17:38:13.810Z</dcterms:modified>
</cp:coreProperties>
</file>

<file path=docProps/custom.xml><?xml version="1.0" encoding="utf-8"?>
<Properties xmlns="http://schemas.openxmlformats.org/officeDocument/2006/custom-properties" xmlns:vt="http://schemas.openxmlformats.org/officeDocument/2006/docPropsVTypes"/>
</file>