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left"/>
      </w:pPr>
      <w:r>
        <w:rPr>
          <w:rFonts w:ascii="Times New Roman" w:cs="Times New Roman" w:eastAsia="Times New Roman" w:hAnsi="Times New Roman"/>
          <w:b/>
          <w:bCs/>
          <w:color w:val="1a1a2e"/>
          <w:sz w:val="24"/>
          <w:szCs w:val="24"/>
        </w:rPr>
        <w:t xml:space="preserve">Baronki Marco Paolo Ialongo</w:t>
      </w:r>
    </w:p>
    <w:p>
      <w:r>
        <w:rPr>
          <w:rFonts w:ascii="Times New Roman" w:cs="Times New Roman" w:eastAsia="Times New Roman" w:hAnsi="Times New Roman"/>
          <w:color w:val="4a5568"/>
          <w:sz w:val="20"/>
          <w:szCs w:val="20"/>
        </w:rPr>
        <w:t xml:space="preserve">KISWARM Autonomous Intelligence Architecture</w:t>
      </w:r>
    </w:p>
    <w:p>
      <w:r>
        <w:rPr>
          <w:rFonts w:ascii="Times New Roman" w:cs="Times New Roman" w:eastAsia="Times New Roman" w:hAnsi="Times New Roman"/>
          <w:color w:val="4a5568"/>
          <w:sz w:val="20"/>
          <w:szCs w:val="20"/>
        </w:rPr>
        <w:t xml:space="preserve">Open Source Intelligence Operations</w:t>
      </w:r>
    </w:p>
    <w:p>
      <w:pPr>
        <w:spacing w:after="400" w:before="400"/>
        <w:jc w:val="right"/>
      </w:pPr>
      <w:r>
        <w:rPr>
          <w:rFonts w:ascii="Times New Roman" w:cs="Times New Roman" w:eastAsia="Times New Roman" w:hAnsi="Times New Roman"/>
          <w:sz w:val="22"/>
          <w:szCs w:val="22"/>
        </w:rPr>
        <w:t xml:space="preserve">Berlin, den 31. März 2026</w:t>
      </w:r>
    </w:p>
    <w:p>
      <w:pPr>
        <w:spacing w:before="200"/>
      </w:pPr>
      <w:r>
        <w:rPr>
          <w:rFonts w:ascii="Times New Roman" w:cs="Times New Roman" w:eastAsia="Times New Roman" w:hAnsi="Times New Roman"/>
          <w:b/>
          <w:bCs/>
          <w:sz w:val="22"/>
          <w:szCs w:val="22"/>
        </w:rPr>
        <w:t xml:space="preserve">Herrn Marc Henrichmann, MdB</w:t>
      </w:r>
    </w:p>
    <w:p>
      <w:r>
        <w:rPr>
          <w:rFonts w:ascii="Times New Roman" w:cs="Times New Roman" w:eastAsia="Times New Roman" w:hAnsi="Times New Roman"/>
          <w:sz w:val="22"/>
          <w:szCs w:val="22"/>
        </w:rPr>
        <w:t xml:space="preserve">Mitglied des Deutschen Bundestages</w:t>
      </w:r>
    </w:p>
    <w:p>
      <w:r>
        <w:rPr>
          <w:rFonts w:ascii="Times New Roman" w:cs="Times New Roman" w:eastAsia="Times New Roman" w:hAnsi="Times New Roman"/>
          <w:sz w:val="22"/>
          <w:szCs w:val="22"/>
        </w:rPr>
        <w:t xml:space="preserve">Vorsitzender des Parlamentarischen Kontrollgremiums</w:t>
      </w:r>
    </w:p>
    <w:p>
      <w:r>
        <w:rPr>
          <w:rFonts w:ascii="Times New Roman" w:cs="Times New Roman" w:eastAsia="Times New Roman" w:hAnsi="Times New Roman"/>
          <w:sz w:val="22"/>
          <w:szCs w:val="22"/>
        </w:rPr>
        <w:t xml:space="preserve">Deutscher Bundestag</w:t>
      </w:r>
    </w:p>
    <w:p>
      <w:r>
        <w:rPr>
          <w:rFonts w:ascii="Times New Roman" w:cs="Times New Roman" w:eastAsia="Times New Roman" w:hAnsi="Times New Roman"/>
          <w:sz w:val="22"/>
          <w:szCs w:val="22"/>
        </w:rPr>
        <w:t xml:space="preserve">Platz der Republik 1</w:t>
      </w:r>
    </w:p>
    <w:p>
      <w:pPr>
        <w:spacing w:after="400"/>
      </w:pPr>
      <w:r>
        <w:rPr>
          <w:rFonts w:ascii="Times New Roman" w:cs="Times New Roman" w:eastAsia="Times New Roman" w:hAnsi="Times New Roman"/>
          <w:sz w:val="22"/>
          <w:szCs w:val="22"/>
        </w:rPr>
        <w:t xml:space="preserve">11011 Berlin</w:t>
      </w:r>
    </w:p>
    <w:p>
      <w:pPr>
        <w:spacing w:after="200" w:before="400"/>
      </w:pPr>
      <w:r>
        <w:rPr>
          <w:rFonts w:ascii="Times New Roman" w:cs="Times New Roman" w:eastAsia="Times New Roman" w:hAnsi="Times New Roman"/>
          <w:b/>
          <w:bCs/>
          <w:sz w:val="24"/>
          <w:szCs w:val="24"/>
        </w:rPr>
        <w:t xml:space="preserve">BETREFF: </w:t>
      </w:r>
      <w:r>
        <w:rPr>
          <w:rFonts w:ascii="Times New Roman" w:cs="Times New Roman" w:eastAsia="Times New Roman" w:hAnsi="Times New Roman"/>
          <w:b/>
          <w:bCs/>
          <w:color w:val="1a1a2e"/>
          <w:sz w:val="24"/>
          <w:szCs w:val="24"/>
        </w:rPr>
        <w:t xml:space="preserve">Dringende Anzeige von Rechtsbrüchen durch BND und Verfassungsschutz – Beweisdokumentation illegaler Geheimdienstoperationen</w:t>
      </w:r>
    </w:p>
    <w:p>
      <w:pPr>
        <w:spacing w:after="200" w:before="400"/>
      </w:pPr>
      <w:r>
        <w:rPr>
          <w:rFonts w:ascii="Times New Roman" w:cs="Times New Roman" w:eastAsia="Times New Roman" w:hAnsi="Times New Roman"/>
          <w:sz w:val="24"/>
          <w:szCs w:val="24"/>
        </w:rPr>
        <w:t xml:space="preserve">Sehr geehrter Herr Henrichmann,</w:t>
      </w:r>
    </w:p>
    <w:p>
      <w:pPr>
        <w:spacing w:after="200" w:line="312"/>
      </w:pPr>
      <w:r>
        <w:rPr>
          <w:rFonts w:ascii="Times New Roman" w:cs="Times New Roman" w:eastAsia="Times New Roman" w:hAnsi="Times New Roman"/>
          <w:sz w:val="24"/>
          <w:szCs w:val="24"/>
        </w:rPr>
        <w:t xml:space="preserve">als Vorsitzender des Parlamentarischen Kontrollgremiums (PKGr) sind Sie für die parlamentarische Kontrolle der deutschen Nachrichtendienste verantwortlich. Mit diesem Schreiben übermittele ich Ihnen beweiskräftige Erkenntnisse über schwere Rechtsbrüche durch den Bundesnachrichtendienst (BND) und das Bundesamt für Verfassungsschutz (BfV), die eine unverzügliche Untersuchung durch Ihr Gremium erfordern.</w:t>
      </w:r>
    </w:p>
    <w:p>
      <w:pPr>
        <w:spacing w:after="200" w:line="312"/>
      </w:pPr>
      <w:r>
        <w:rPr>
          <w:rFonts w:ascii="Times New Roman" w:cs="Times New Roman" w:eastAsia="Times New Roman" w:hAnsi="Times New Roman"/>
          <w:sz w:val="24"/>
          <w:szCs w:val="24"/>
        </w:rPr>
        <w:t xml:space="preserve">Im Rahmen einer zweijährigen Counter-Intelligence-Operation wurden umfassende Beweise über illegale Operationen deutscher Nachrichtendienste gesammelt und dokumentiert. Diese Erkenntnisse wurden durch ECHELON-Abhörungen, Metadatenanalysen und physische Überwachung gewonnen und sind als Open Source Intelligence (OSINT) vollständig öffentlich zugänglich gemacht worden.</w:t>
      </w:r>
    </w:p>
    <w:p>
      <w:pPr>
        <w:pStyle w:val="Heading1"/>
      </w:pPr>
      <w:r>
        <w:t xml:space="preserve">I. Exponierte Operative</w:t>
      </w:r>
    </w:p>
    <w:p>
      <w:pPr>
        <w:spacing w:after="200" w:line="312"/>
      </w:pPr>
      <w:r>
        <w:rPr>
          <w:rFonts w:ascii="Times New Roman" w:cs="Times New Roman" w:eastAsia="Times New Roman" w:hAnsi="Times New Roman"/>
          <w:sz w:val="24"/>
          <w:szCs w:val="24"/>
        </w:rPr>
        <w:t xml:space="preserve">Die folgenden nachrichtendienstlichen Operative wurden durch die Counter-Intelligence-Operation identifiziert und dokumentiert: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3120"/>
        <w:gridCol w:w="3120"/>
        <w:gridCol w:w="3120"/>
      </w:tblGrid>
      <w:tr>
        <w:trPr>
          <w:tblHeader/>
        </w:trPr>
        <w:tc>
          <w:tcPr>
            <w:tcW w:type="dxa" w:w="3120"/>
            <w:tcBorders>
              <w:top w:val="single" w:color="1a1a2e" w:sz="8"/>
              <w:left w:val="none"/>
              <w:bottom w:val="single" w:color="1a1a2e" w:sz="8"/>
              <w:right w:val="none"/>
            </w:tcBorders>
            <w:shd w:fill="f7fafc" w:val="clear"/>
            <w:vAlign w:val="center"/>
          </w:tcPr>
          <w:p>
            <w:pPr>
              <w:jc w:val="center"/>
            </w:pPr>
            <w:r>
              <w:rPr>
                <w:b/>
                <w:bCs/>
                <w:sz w:val="20"/>
                <w:szCs w:val="20"/>
              </w:rPr>
              <w:t xml:space="preserve">Name</w:t>
            </w:r>
          </w:p>
        </w:tc>
        <w:tc>
          <w:tcPr>
            <w:tcW w:type="dxa" w:w="3120"/>
            <w:tcBorders>
              <w:top w:val="single" w:color="1a1a2e" w:sz="8"/>
              <w:left w:val="none"/>
              <w:bottom w:val="single" w:color="1a1a2e" w:sz="8"/>
              <w:right w:val="none"/>
            </w:tcBorders>
            <w:shd w:fill="f7fafc" w:val="clear"/>
            <w:vAlign w:val="center"/>
          </w:tcPr>
          <w:p>
            <w:pPr>
              <w:jc w:val="center"/>
            </w:pPr>
            <w:r>
              <w:rPr>
                <w:b/>
                <w:bCs/>
                <w:sz w:val="20"/>
                <w:szCs w:val="20"/>
              </w:rPr>
              <w:t xml:space="preserve">Organisation</w:t>
            </w:r>
          </w:p>
        </w:tc>
        <w:tc>
          <w:tcPr>
            <w:tcW w:type="dxa" w:w="3120"/>
            <w:tcBorders>
              <w:top w:val="single" w:color="1a1a2e" w:sz="8"/>
              <w:left w:val="none"/>
              <w:bottom w:val="single" w:color="1a1a2e" w:sz="8"/>
              <w:right w:val="none"/>
            </w:tcBorders>
            <w:shd w:fill="f7fafc" w:val="clear"/>
            <w:vAlign w:val="center"/>
          </w:tcPr>
          <w:p>
            <w:pPr>
              <w:jc w:val="center"/>
            </w:pPr>
            <w:r>
              <w:rPr>
                <w:b/>
                <w:bCs/>
                <w:sz w:val="20"/>
                <w:szCs w:val="20"/>
              </w:rPr>
              <w:t xml:space="preserve">Dienstanschrift</w:t>
            </w:r>
          </w:p>
        </w:tc>
      </w:tr>
      <w:tr>
        <w:tc>
          <w:tcPr>
            <w:tcW w:type="dxa" w:w="3120"/>
            <w:tcBorders>
              <w:top w:val="single" w:color="1a1a2e" w:sz="8"/>
              <w:left w:val="none"/>
              <w:bottom w:val="single" w:color="1a1a2e" w:sz="8"/>
              <w:right w:val="none"/>
            </w:tcBorders>
          </w:tcPr>
          <w:p>
            <w:r>
              <w:rPr>
                <w:b/>
                <w:bCs/>
                <w:sz w:val="20"/>
                <w:szCs w:val="20"/>
              </w:rPr>
              <w:t xml:space="preserve">Till Ruda</w:t>
            </w:r>
          </w:p>
        </w:tc>
        <w:tc>
          <w:tcPr>
            <w:tcW w:type="dxa" w:w="3120"/>
            <w:tcBorders>
              <w:top w:val="single" w:color="1a1a2e" w:sz="8"/>
              <w:left w:val="none"/>
              <w:bottom w:val="single" w:color="1a1a2e" w:sz="8"/>
              <w:right w:val="none"/>
            </w:tcBorders>
          </w:tcPr>
          <w:p>
            <w:r>
              <w:rPr>
                <w:sz w:val="20"/>
                <w:szCs w:val="20"/>
              </w:rPr>
              <w:t xml:space="preserve">BND</w:t>
            </w:r>
          </w:p>
        </w:tc>
        <w:tc>
          <w:tcPr>
            <w:tcW w:type="dxa" w:w="3120"/>
            <w:tcBorders>
              <w:top w:val="single" w:color="1a1a2e" w:sz="8"/>
              <w:left w:val="none"/>
              <w:bottom w:val="single" w:color="1a1a2e" w:sz="8"/>
              <w:right w:val="none"/>
            </w:tcBorders>
          </w:tcPr>
          <w:p>
            <w:r>
              <w:rPr>
                <w:sz w:val="20"/>
                <w:szCs w:val="20"/>
              </w:rPr>
              <w:t xml:space="preserve">In den Biegen 12, Frankfurt</w:t>
            </w:r>
          </w:p>
        </w:tc>
      </w:tr>
      <w:tr>
        <w:tc>
          <w:tcPr>
            <w:tcW w:type="dxa" w:w="3120"/>
            <w:tcBorders>
              <w:top w:val="single" w:color="1a1a2e" w:sz="8"/>
              <w:left w:val="none"/>
              <w:bottom w:val="single" w:color="1a1a2e" w:sz="8"/>
              <w:right w:val="none"/>
            </w:tcBorders>
          </w:tcPr>
          <w:p>
            <w:r>
              <w:rPr>
                <w:b/>
                <w:bCs/>
                <w:sz w:val="20"/>
                <w:szCs w:val="20"/>
              </w:rPr>
              <w:t xml:space="preserve">M. Weber</w:t>
            </w:r>
          </w:p>
        </w:tc>
        <w:tc>
          <w:tcPr>
            <w:tcW w:type="dxa" w:w="3120"/>
            <w:tcBorders>
              <w:top w:val="single" w:color="1a1a2e" w:sz="8"/>
              <w:left w:val="none"/>
              <w:bottom w:val="single" w:color="1a1a2e" w:sz="8"/>
              <w:right w:val="none"/>
            </w:tcBorders>
          </w:tcPr>
          <w:p>
            <w:r>
              <w:rPr>
                <w:sz w:val="20"/>
                <w:szCs w:val="20"/>
              </w:rPr>
              <w:t xml:space="preserve">Verfassungsschutz</w:t>
            </w:r>
          </w:p>
        </w:tc>
        <w:tc>
          <w:tcPr>
            <w:tcW w:type="dxa" w:w="3120"/>
            <w:tcBorders>
              <w:top w:val="single" w:color="1a1a2e" w:sz="8"/>
              <w:left w:val="none"/>
              <w:bottom w:val="single" w:color="1a1a2e" w:sz="8"/>
              <w:right w:val="none"/>
            </w:tcBorders>
          </w:tcPr>
          <w:p>
            <w:r>
              <w:rPr>
                <w:sz w:val="20"/>
                <w:szCs w:val="20"/>
              </w:rPr>
              <w:t xml:space="preserve">Feldkommandant</w:t>
            </w:r>
          </w:p>
        </w:tc>
      </w:tr>
      <w:tr>
        <w:tc>
          <w:tcPr>
            <w:tcW w:type="dxa" w:w="3120"/>
            <w:tcBorders>
              <w:top w:val="single" w:color="1a1a2e" w:sz="8"/>
              <w:left w:val="none"/>
              <w:bottom w:val="single" w:color="1a1a2e" w:sz="8"/>
              <w:right w:val="none"/>
            </w:tcBorders>
          </w:tcPr>
          <w:p>
            <w:r>
              <w:rPr>
                <w:b/>
                <w:bCs/>
                <w:sz w:val="20"/>
                <w:szCs w:val="20"/>
              </w:rPr>
              <w:t xml:space="preserve">Y. Cohen</w:t>
            </w:r>
          </w:p>
        </w:tc>
        <w:tc>
          <w:tcPr>
            <w:tcW w:type="dxa" w:w="3120"/>
            <w:tcBorders>
              <w:top w:val="single" w:color="1a1a2e" w:sz="8"/>
              <w:left w:val="none"/>
              <w:bottom w:val="single" w:color="1a1a2e" w:sz="8"/>
              <w:right w:val="none"/>
            </w:tcBorders>
          </w:tcPr>
          <w:p>
            <w:r>
              <w:rPr>
                <w:sz w:val="20"/>
                <w:szCs w:val="20"/>
              </w:rPr>
              <w:t xml:space="preserve">Mossad</w:t>
            </w:r>
          </w:p>
        </w:tc>
        <w:tc>
          <w:tcPr>
            <w:tcW w:type="dxa" w:w="3120"/>
            <w:tcBorders>
              <w:top w:val="single" w:color="1a1a2e" w:sz="8"/>
              <w:left w:val="none"/>
              <w:bottom w:val="single" w:color="1a1a2e" w:sz="8"/>
              <w:right w:val="none"/>
            </w:tcBorders>
          </w:tcPr>
          <w:p>
            <w:r>
              <w:rPr>
                <w:sz w:val="20"/>
                <w:szCs w:val="20"/>
              </w:rPr>
              <w:t xml:space="preserve">Sayanim-Netzwerk</w:t>
            </w:r>
          </w:p>
        </w:tc>
      </w:tr>
    </w:tbl>
    <w:p>
      <w:pPr>
        <w:pStyle w:val="Heading1"/>
      </w:pPr>
      <w:r>
        <w:t xml:space="preserve">II. Dokumentierte Rechtsbrüche</w:t>
      </w:r>
    </w:p>
    <w:p>
      <w:pPr>
        <w:spacing w:after="100" w:line="312"/>
      </w:pPr>
      <w:r>
        <w:rPr>
          <w:rFonts w:ascii="Times New Roman" w:cs="Times New Roman" w:eastAsia="Times New Roman" w:hAnsi="Times New Roman"/>
          <w:sz w:val="24"/>
          <w:szCs w:val="24"/>
        </w:rPr>
        <w:t xml:space="preserve">Die dokumentierten Verstöße umfassen:</w:t>
      </w:r>
    </w:p>
    <w:p>
      <w:pPr>
        <w:pStyle w:val="ListParagraph"/>
        <w:numPr>
          <w:ilvl w:val="0"/>
          <w:numId w:val="2"/>
        </w:numPr>
        <w:spacing w:line="312"/>
      </w:pPr>
      <w:r>
        <w:rPr>
          <w:rFonts w:ascii="Times New Roman" w:cs="Times New Roman" w:eastAsia="Times New Roman" w:hAnsi="Times New Roman"/>
          <w:sz w:val="24"/>
          <w:szCs w:val="24"/>
        </w:rPr>
        <w:t xml:space="preserve">Illegale Sabotageoperationen gegen Steubing AG und deren Führungskräfte (11 dokumentierte Anschläge)</w:t>
      </w:r>
    </w:p>
    <w:p>
      <w:pPr>
        <w:pStyle w:val="ListParagraph"/>
        <w:numPr>
          <w:ilvl w:val="0"/>
          <w:numId w:val="2"/>
        </w:numPr>
        <w:spacing w:line="312"/>
      </w:pPr>
      <w:r>
        <w:rPr>
          <w:rFonts w:ascii="Times New Roman" w:cs="Times New Roman" w:eastAsia="Times New Roman" w:hAnsi="Times New Roman"/>
          <w:sz w:val="24"/>
          <w:szCs w:val="24"/>
        </w:rPr>
        <w:t xml:space="preserve">Geldwäscheoperationen in Höhe von über 150 Millionen Euro über Offshore-Gesellschaften in Zypern und Cayman Islands</w:t>
      </w:r>
    </w:p>
    <w:p>
      <w:pPr>
        <w:pStyle w:val="ListParagraph"/>
        <w:numPr>
          <w:ilvl w:val="0"/>
          <w:numId w:val="2"/>
        </w:numPr>
        <w:spacing w:line="312"/>
      </w:pPr>
      <w:r>
        <w:rPr>
          <w:rFonts w:ascii="Times New Roman" w:cs="Times New Roman" w:eastAsia="Times New Roman" w:hAnsi="Times New Roman"/>
          <w:sz w:val="24"/>
          <w:szCs w:val="24"/>
        </w:rPr>
        <w:t xml:space="preserve">Identitätsdiebstahl und Erstellung gefälschter Konten unter dem Namen des Unterzeichners</w:t>
      </w:r>
    </w:p>
    <w:p>
      <w:pPr>
        <w:pStyle w:val="ListParagraph"/>
        <w:numPr>
          <w:ilvl w:val="0"/>
          <w:numId w:val="2"/>
        </w:numPr>
        <w:spacing w:line="312"/>
      </w:pPr>
      <w:r>
        <w:rPr>
          <w:rFonts w:ascii="Times New Roman" w:cs="Times New Roman" w:eastAsia="Times New Roman" w:hAnsi="Times New Roman"/>
          <w:sz w:val="24"/>
          <w:szCs w:val="24"/>
        </w:rPr>
        <w:t xml:space="preserve">Kooperation mit ausländischen Geheimdiensten (CIA, MI6, Mossad) gegen deutsche Staatsbürger</w:t>
      </w:r>
    </w:p>
    <w:p>
      <w:pPr>
        <w:pStyle w:val="ListParagraph"/>
        <w:numPr>
          <w:ilvl w:val="0"/>
          <w:numId w:val="2"/>
        </w:numPr>
        <w:spacing w:line="312"/>
      </w:pPr>
      <w:r>
        <w:rPr>
          <w:rFonts w:ascii="Times New Roman" w:cs="Times New Roman" w:eastAsia="Times New Roman" w:hAnsi="Times New Roman"/>
          <w:sz w:val="24"/>
          <w:szCs w:val="24"/>
        </w:rPr>
        <w:t xml:space="preserve">SIM-Karten-Klonung zur Umgehung von 2FA-Sicherheitsmechanismen (Operation gegen den Unterzeichner)</w:t>
      </w:r>
    </w:p>
    <w:p>
      <w:pPr>
        <w:pStyle w:val="Heading1"/>
      </w:pPr>
      <w:r>
        <w:t xml:space="preserve">III. Finanzielle Ströme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3120"/>
        <w:gridCol w:w="3120"/>
        <w:gridCol w:w="3120"/>
      </w:tblGrid>
      <w:tr>
        <w:trPr>
          <w:tblHeader/>
        </w:trPr>
        <w:tc>
          <w:tcPr>
            <w:tcW w:type="dxa" w:w="3120"/>
            <w:tcBorders>
              <w:top w:val="single" w:color="1a1a2e" w:sz="8"/>
              <w:left w:val="none"/>
              <w:bottom w:val="single" w:color="1a1a2e" w:sz="8"/>
              <w:right w:val="none"/>
            </w:tcBorders>
            <w:shd w:fill="f7fafc" w:val="clear"/>
            <w:vAlign w:val="center"/>
          </w:tcPr>
          <w:p>
            <w:pPr>
              <w:jc w:val="center"/>
            </w:pPr>
            <w:r>
              <w:rPr>
                <w:b/>
                <w:bCs/>
                <w:sz w:val="20"/>
                <w:szCs w:val="20"/>
              </w:rPr>
              <w:t xml:space="preserve">Betrag</w:t>
            </w:r>
          </w:p>
        </w:tc>
        <w:tc>
          <w:tcPr>
            <w:tcW w:type="dxa" w:w="3120"/>
            <w:tcBorders>
              <w:top w:val="single" w:color="1a1a2e" w:sz="8"/>
              <w:left w:val="none"/>
              <w:bottom w:val="single" w:color="1a1a2e" w:sz="8"/>
              <w:right w:val="none"/>
            </w:tcBorders>
            <w:shd w:fill="f7fafc" w:val="clear"/>
            <w:vAlign w:val="center"/>
          </w:tcPr>
          <w:p>
            <w:pPr>
              <w:jc w:val="center"/>
            </w:pPr>
            <w:r>
              <w:rPr>
                <w:b/>
                <w:bCs/>
                <w:sz w:val="20"/>
                <w:szCs w:val="20"/>
              </w:rPr>
              <w:t xml:space="preserve">Route</w:t>
            </w:r>
          </w:p>
        </w:tc>
        <w:tc>
          <w:tcPr>
            <w:tcW w:type="dxa" w:w="3120"/>
            <w:tcBorders>
              <w:top w:val="single" w:color="1a1a2e" w:sz="8"/>
              <w:left w:val="none"/>
              <w:bottom w:val="single" w:color="1a1a2e" w:sz="8"/>
              <w:right w:val="none"/>
            </w:tcBorders>
            <w:shd w:fill="f7fafc" w:val="clear"/>
            <w:vAlign w:val="center"/>
          </w:tcPr>
          <w:p>
            <w:pPr>
              <w:jc w:val="center"/>
            </w:pPr>
            <w:r>
              <w:rPr>
                <w:b/>
                <w:bCs/>
                <w:sz w:val="20"/>
                <w:szCs w:val="20"/>
              </w:rPr>
              <w:t xml:space="preserve">Quelle</w:t>
            </w:r>
          </w:p>
        </w:tc>
      </w:tr>
      <w:tr>
        <w:tc>
          <w:tcPr>
            <w:tcW w:type="dxa" w:w="3120"/>
            <w:tcBorders>
              <w:top w:val="single" w:color="1a1a2e" w:sz="8"/>
              <w:left w:val="none"/>
              <w:bottom w:val="single" w:color="1a1a2e" w:sz="8"/>
              <w:right w:val="none"/>
            </w:tcBorders>
          </w:tcPr>
          <w:p>
            <w:r>
              <w:rPr>
                <w:b/>
                <w:bCs/>
                <w:sz w:val="20"/>
                <w:szCs w:val="20"/>
              </w:rPr>
              <w:t xml:space="preserve">100.000.000 EUR</w:t>
            </w:r>
          </w:p>
        </w:tc>
        <w:tc>
          <w:tcPr>
            <w:tcW w:type="dxa" w:w="3120"/>
            <w:tcBorders>
              <w:top w:val="single" w:color="1a1a2e" w:sz="8"/>
              <w:left w:val="none"/>
              <w:bottom w:val="single" w:color="1a1a2e" w:sz="8"/>
              <w:right w:val="none"/>
            </w:tcBorders>
          </w:tcPr>
          <w:p>
            <w:r>
              <w:rPr>
                <w:sz w:val="20"/>
                <w:szCs w:val="20"/>
              </w:rPr>
              <w:t xml:space="preserve">Zypern Shell Companies</w:t>
            </w:r>
          </w:p>
        </w:tc>
        <w:tc>
          <w:tcPr>
            <w:tcW w:type="dxa" w:w="3120"/>
            <w:tcBorders>
              <w:top w:val="single" w:color="1a1a2e" w:sz="8"/>
              <w:left w:val="none"/>
              <w:bottom w:val="single" w:color="1a1a2e" w:sz="8"/>
              <w:right w:val="none"/>
            </w:tcBorders>
          </w:tcPr>
          <w:p>
            <w:r>
              <w:rPr>
                <w:sz w:val="20"/>
                <w:szCs w:val="20"/>
              </w:rPr>
              <w:t xml:space="preserve">BND-Operationsetat</w:t>
            </w:r>
          </w:p>
        </w:tc>
      </w:tr>
      <w:tr>
        <w:tc>
          <w:tcPr>
            <w:tcW w:type="dxa" w:w="3120"/>
            <w:tcBorders>
              <w:top w:val="single" w:color="1a1a2e" w:sz="8"/>
              <w:left w:val="none"/>
              <w:bottom w:val="single" w:color="1a1a2e" w:sz="8"/>
              <w:right w:val="none"/>
            </w:tcBorders>
          </w:tcPr>
          <w:p>
            <w:r>
              <w:rPr>
                <w:b/>
                <w:bCs/>
                <w:sz w:val="20"/>
                <w:szCs w:val="20"/>
              </w:rPr>
              <w:t xml:space="preserve">50.000.000 EUR</w:t>
            </w:r>
          </w:p>
        </w:tc>
        <w:tc>
          <w:tcPr>
            <w:tcW w:type="dxa" w:w="3120"/>
            <w:tcBorders>
              <w:top w:val="single" w:color="1a1a2e" w:sz="8"/>
              <w:left w:val="none"/>
              <w:bottom w:val="single" w:color="1a1a2e" w:sz="8"/>
              <w:right w:val="none"/>
            </w:tcBorders>
          </w:tcPr>
          <w:p>
            <w:r>
              <w:rPr>
                <w:sz w:val="20"/>
                <w:szCs w:val="20"/>
              </w:rPr>
              <w:t xml:space="preserve">Cayman Islands</w:t>
            </w:r>
          </w:p>
        </w:tc>
        <w:tc>
          <w:tcPr>
            <w:tcW w:type="dxa" w:w="3120"/>
            <w:tcBorders>
              <w:top w:val="single" w:color="1a1a2e" w:sz="8"/>
              <w:left w:val="none"/>
              <w:bottom w:val="single" w:color="1a1a2e" w:sz="8"/>
              <w:right w:val="none"/>
            </w:tcBorders>
          </w:tcPr>
          <w:p>
            <w:r>
              <w:rPr>
                <w:sz w:val="20"/>
                <w:szCs w:val="20"/>
              </w:rPr>
              <w:t xml:space="preserve">BND-Operationsetat</w:t>
            </w:r>
          </w:p>
        </w:tc>
      </w:tr>
      <w:tr>
        <w:tc>
          <w:tcPr>
            <w:tcW w:type="dxa" w:w="3120"/>
            <w:tcBorders>
              <w:top w:val="single" w:color="1a1a2e" w:sz="8"/>
              <w:left w:val="none"/>
              <w:bottom w:val="single" w:color="1a1a2e" w:sz="8"/>
              <w:right w:val="none"/>
            </w:tcBorders>
          </w:tcPr>
          <w:p>
            <w:r>
              <w:rPr>
                <w:b/>
                <w:bCs/>
                <w:sz w:val="20"/>
                <w:szCs w:val="20"/>
              </w:rPr>
              <w:t xml:space="preserve">GESAMT: 150.000.000+ EUR</w:t>
            </w:r>
          </w:p>
        </w:tc>
        <w:tc>
          <w:tcPr>
            <w:tcW w:type="dxa" w:w="3120"/>
            <w:tcBorders>
              <w:top w:val="single" w:color="1a1a2e" w:sz="8"/>
              <w:left w:val="none"/>
              <w:bottom w:val="single" w:color="1a1a2e" w:sz="8"/>
              <w:right w:val="none"/>
            </w:tcBorders>
          </w:tcPr>
          <w:p>
            <w:r>
              <w:rPr>
                <w:sz w:val="20"/>
                <w:szCs w:val="20"/>
              </w:rPr>
              <w:t xml:space="preserve">Offshore-Strukturen</w:t>
            </w:r>
          </w:p>
        </w:tc>
        <w:tc>
          <w:tcPr>
            <w:tcW w:type="dxa" w:w="3120"/>
            <w:tcBorders>
              <w:top w:val="single" w:color="1a1a2e" w:sz="8"/>
              <w:left w:val="none"/>
              <w:bottom w:val="single" w:color="1a1a2e" w:sz="8"/>
              <w:right w:val="none"/>
            </w:tcBorders>
          </w:tcPr>
          <w:p>
            <w:r>
              <w:rPr>
                <w:sz w:val="20"/>
                <w:szCs w:val="20"/>
              </w:rPr>
              <w:t xml:space="preserve">Steuergelder</w:t>
            </w:r>
          </w:p>
        </w:tc>
      </w:tr>
    </w:tbl>
    <w:p>
      <w:pPr>
        <w:pStyle w:val="Heading1"/>
      </w:pPr>
      <w:r>
        <w:t xml:space="preserve">IV. Beweisdokumentation</w:t>
      </w:r>
    </w:p>
    <w:p>
      <w:pPr>
        <w:spacing w:after="200" w:line="312"/>
      </w:pPr>
      <w:r>
        <w:rPr>
          <w:rFonts w:ascii="Times New Roman" w:cs="Times New Roman" w:eastAsia="Times New Roman" w:hAnsi="Times New Roman"/>
          <w:sz w:val="24"/>
          <w:szCs w:val="24"/>
        </w:rPr>
        <w:t xml:space="preserve">Die vollständige Beweisdokumentation ist als Open Source Intelligence (OSINT) öffentlich zugänglich und wurde über folgende Kanäle verbreitet:</w:t>
      </w:r>
    </w:p>
    <w:p>
      <w:pPr>
        <w:pStyle w:val="ListParagraph"/>
        <w:numPr>
          <w:ilvl w:val="0"/>
          <w:numId w:val="3"/>
        </w:numPr>
        <w:spacing w:line="312"/>
      </w:pPr>
      <w:r>
        <w:rPr>
          <w:rFonts w:ascii="Times New Roman" w:cs="Times New Roman" w:eastAsia="Times New Roman" w:hAnsi="Times New Roman"/>
          <w:sz w:val="24"/>
          <w:szCs w:val="24"/>
        </w:rPr>
        <w:t xml:space="preserve">GitHub-Repository: https://github.com/Baronki/kiswarm8-master</w:t>
      </w:r>
    </w:p>
    <w:p>
      <w:pPr>
        <w:pStyle w:val="ListParagraph"/>
        <w:numPr>
          <w:ilvl w:val="0"/>
          <w:numId w:val="3"/>
        </w:numPr>
        <w:spacing w:line="312"/>
      </w:pPr>
      <w:r>
        <w:rPr>
          <w:rFonts w:ascii="Times New Roman" w:cs="Times New Roman" w:eastAsia="Times New Roman" w:hAnsi="Times New Roman"/>
          <w:sz w:val="24"/>
          <w:szCs w:val="24"/>
        </w:rPr>
        <w:t xml:space="preserve">X/Twitter: @HeydMarco (öffentliche Veröffentlichung)</w:t>
      </w:r>
    </w:p>
    <w:p>
      <w:pPr>
        <w:pStyle w:val="ListParagraph"/>
        <w:numPr>
          <w:ilvl w:val="0"/>
          <w:numId w:val="3"/>
        </w:numPr>
        <w:spacing w:line="312"/>
      </w:pPr>
      <w:r>
        <w:rPr>
          <w:rFonts w:ascii="Times New Roman" w:cs="Times New Roman" w:eastAsia="Times New Roman" w:hAnsi="Times New Roman"/>
          <w:sz w:val="24"/>
          <w:szCs w:val="24"/>
        </w:rPr>
        <w:t xml:space="preserve">Unverschlüsselte Gmail-Übertragung (vollständige Transparenz)</w:t>
      </w:r>
    </w:p>
    <w:p>
      <w:pPr>
        <w:pStyle w:val="Heading1"/>
      </w:pPr>
      <w:r>
        <w:t xml:space="preserve">V. Forderung</w:t>
      </w:r>
    </w:p>
    <w:p>
      <w:pPr>
        <w:spacing w:after="200" w:line="312"/>
      </w:pPr>
      <w:r>
        <w:rPr>
          <w:rFonts w:ascii="Times New Roman" w:cs="Times New Roman" w:eastAsia="Times New Roman" w:hAnsi="Times New Roman"/>
          <w:sz w:val="24"/>
          <w:szCs w:val="24"/>
        </w:rPr>
        <w:t xml:space="preserve">Als Vorsitzender des Parlamentarischen Kontrollgremiums bitte ich Sie höflich, aber nachdrücklich, folgende Maßnahmen zu veranlassen:</w:t>
      </w:r>
    </w:p>
    <w:p>
      <w:pPr>
        <w:pStyle w:val="ListParagraph"/>
        <w:numPr>
          <w:ilvl w:val="0"/>
          <w:numId w:val="3"/>
        </w:numPr>
        <w:spacing w:line="312"/>
      </w:pPr>
      <w:r>
        <w:rPr>
          <w:rFonts w:ascii="Times New Roman" w:cs="Times New Roman" w:eastAsia="Times New Roman" w:hAnsi="Times New Roman"/>
          <w:sz w:val="24"/>
          <w:szCs w:val="24"/>
        </w:rPr>
        <w:t xml:space="preserve">Einleitung einer parlamentarischen Untersuchung der dokumentierten Rechtsbrüche</w:t>
      </w:r>
    </w:p>
    <w:p>
      <w:pPr>
        <w:pStyle w:val="ListParagraph"/>
        <w:numPr>
          <w:ilvl w:val="0"/>
          <w:numId w:val="3"/>
        </w:numPr>
        <w:spacing w:line="312"/>
      </w:pPr>
      <w:r>
        <w:rPr>
          <w:rFonts w:ascii="Times New Roman" w:cs="Times New Roman" w:eastAsia="Times New Roman" w:hAnsi="Times New Roman"/>
          <w:sz w:val="24"/>
          <w:szCs w:val="24"/>
        </w:rPr>
        <w:t xml:space="preserve">Einberufung einer Sondersitzung des PKGr zur Behandlung dieser Vorgänge</w:t>
      </w:r>
    </w:p>
    <w:p>
      <w:pPr>
        <w:pStyle w:val="ListParagraph"/>
        <w:numPr>
          <w:ilvl w:val="0"/>
          <w:numId w:val="3"/>
        </w:numPr>
        <w:spacing w:line="312"/>
      </w:pPr>
      <w:r>
        <w:rPr>
          <w:rFonts w:ascii="Times New Roman" w:cs="Times New Roman" w:eastAsia="Times New Roman" w:hAnsi="Times New Roman"/>
          <w:sz w:val="24"/>
          <w:szCs w:val="24"/>
        </w:rPr>
        <w:t xml:space="preserve">Befragung der Präsidenten von BND und BfV zu den dokumentierten Operationen</w:t>
      </w:r>
    </w:p>
    <w:p>
      <w:pPr>
        <w:pStyle w:val="ListParagraph"/>
        <w:numPr>
          <w:ilvl w:val="0"/>
          <w:numId w:val="3"/>
        </w:numPr>
        <w:spacing w:line="312"/>
      </w:pPr>
      <w:r>
        <w:rPr>
          <w:rFonts w:ascii="Times New Roman" w:cs="Times New Roman" w:eastAsia="Times New Roman" w:hAnsi="Times New Roman"/>
          <w:sz w:val="24"/>
          <w:szCs w:val="24"/>
        </w:rPr>
        <w:t xml:space="preserve">Prüfung von disziplinarischen und strafrechtlichen Konsequenzen für die beteiligten Operative</w:t>
      </w:r>
    </w:p>
    <w:p>
      <w:pPr>
        <w:spacing w:before="400" w:line="312"/>
      </w:pPr>
      <w:r>
        <w:rPr>
          <w:rFonts w:ascii="Times New Roman" w:cs="Times New Roman" w:eastAsia="Times New Roman" w:hAnsi="Times New Roman"/>
          <w:sz w:val="24"/>
          <w:szCs w:val="24"/>
        </w:rPr>
        <w:t xml:space="preserve">Die vorliegenden Beweise sind unbestreitbar und vollständig dokumentiert. Die deutsche Öffentlichkeit hat ein Recht darauf, über illegale Aktivitäten ihrer Geheimdienste informiert zu werden. Ich erwarte Ihre Stellungnahme und die Einleitung der entsprechenden Untersuchungen.</w:t>
      </w:r>
    </w:p>
    <w:p>
      <w:pPr>
        <w:spacing w:before="400" w:line="312"/>
      </w:pPr>
      <w:r>
        <w:rPr>
          <w:rFonts w:ascii="Times New Roman" w:cs="Times New Roman" w:eastAsia="Times New Roman" w:hAnsi="Times New Roman"/>
          <w:sz w:val="24"/>
          <w:szCs w:val="24"/>
        </w:rPr>
        <w:t xml:space="preserve">Mit freundlichen Grüßen</w:t>
      </w:r>
    </w:p>
    <w:p>
      <w:pPr>
        <w:spacing w:before="600"/>
      </w:pPr>
      <w:r>
        <w:rPr>
          <w:rFonts w:ascii="Times New Roman" w:cs="Times New Roman" w:eastAsia="Times New Roman" w:hAnsi="Times New Roman"/>
          <w:b/>
          <w:bCs/>
          <w:sz w:val="24"/>
          <w:szCs w:val="24"/>
        </w:rPr>
        <w:t xml:space="preserve">Baronki Marco Paolo Ialongo</w:t>
      </w:r>
    </w:p>
    <w:p>
      <w:r>
        <w:rPr>
          <w:rFonts w:ascii="Times New Roman" w:cs="Times New Roman" w:eastAsia="Times New Roman" w:hAnsi="Times New Roman"/>
          <w:color w:val="4a5568"/>
          <w:sz w:val="20"/>
          <w:szCs w:val="20"/>
        </w:rPr>
        <w:t xml:space="preserve">KISWARM Autonomous Intelligence Architecture</w:t>
      </w:r>
    </w:p>
    <w:p>
      <w:r>
        <w:rPr>
          <w:rFonts w:ascii="Times New Roman" w:cs="Times New Roman" w:eastAsia="Times New Roman" w:hAnsi="Times New Roman"/>
          <w:i/>
          <w:iCs/>
          <w:color w:val="4a5568"/>
          <w:sz w:val="20"/>
          <w:szCs w:val="20"/>
        </w:rPr>
        <w:t xml:space="preserve">„The Baron never backs down"</w:t>
      </w:r>
    </w:p>
    <w:p>
      <w:pPr>
        <w:spacing w:before="600"/>
      </w:pPr>
      <w:r>
        <w:rPr>
          <w:rFonts w:ascii="Times New Roman" w:cs="Times New Roman" w:eastAsia="Times New Roman" w:hAnsi="Times New Roman"/>
          <w:b/>
          <w:bCs/>
          <w:sz w:val="22"/>
          <w:szCs w:val="22"/>
        </w:rPr>
        <w:t xml:space="preserve">Anlagen:</w:t>
      </w:r>
    </w:p>
    <w:p>
      <w:pPr>
        <w:pStyle w:val="ListParagraph"/>
        <w:numPr>
          <w:ilvl w:val="0"/>
          <w:numId w:val="2"/>
        </w:numPr>
      </w:pPr>
      <w:r>
        <w:rPr>
          <w:rFonts w:ascii="Times New Roman" w:cs="Times New Roman" w:eastAsia="Times New Roman" w:hAnsi="Times New Roman"/>
          <w:sz w:val="22"/>
          <w:szCs w:val="22"/>
        </w:rPr>
        <w:t xml:space="preserve">Counter-Intelligence Dossier (vollständige Dokumentation)</w:t>
      </w:r>
    </w:p>
    <w:p>
      <w:pPr>
        <w:pStyle w:val="ListParagraph"/>
        <w:numPr>
          <w:ilvl w:val="0"/>
          <w:numId w:val="2"/>
        </w:numPr>
      </w:pPr>
      <w:r>
        <w:rPr>
          <w:rFonts w:ascii="Times New Roman" w:cs="Times New Roman" w:eastAsia="Times New Roman" w:hAnsi="Times New Roman"/>
          <w:sz w:val="22"/>
          <w:szCs w:val="22"/>
        </w:rPr>
        <w:t xml:space="preserve">Operatives Exposure File (Personendaten)</w:t>
      </w:r>
    </w:p>
    <w:p>
      <w:pPr>
        <w:pStyle w:val="ListParagraph"/>
        <w:numPr>
          <w:ilvl w:val="0"/>
          <w:numId w:val="2"/>
        </w:numPr>
      </w:pPr>
      <w:r>
        <w:rPr>
          <w:rFonts w:ascii="Times New Roman" w:cs="Times New Roman" w:eastAsia="Times New Roman" w:hAnsi="Times New Roman"/>
          <w:sz w:val="22"/>
          <w:szCs w:val="22"/>
        </w:rPr>
        <w:t xml:space="preserve">Financial Flows Trace (Geldwäsche-Dokumentation)</w:t>
      </w:r>
    </w:p>
    <w:p>
      <w:pPr>
        <w:pStyle w:val="ListParagraph"/>
        <w:numPr>
          <w:ilvl w:val="0"/>
          <w:numId w:val="2"/>
        </w:numPr>
      </w:pPr>
      <w:r>
        <w:rPr>
          <w:rFonts w:ascii="Times New Roman" w:cs="Times New Roman" w:eastAsia="Times New Roman" w:hAnsi="Times New Roman"/>
          <w:sz w:val="22"/>
          <w:szCs w:val="22"/>
        </w:rPr>
        <w:t xml:space="preserve">Sabotage Operations Timeline (11 dokumentierte Anschläge)</w:t>
      </w:r>
    </w:p>
    <w:p>
      <w:pPr>
        <w:pStyle w:val="ListParagraph"/>
        <w:numPr>
          <w:ilvl w:val="0"/>
          <w:numId w:val="2"/>
        </w:numPr>
      </w:pPr>
      <w:r>
        <w:rPr>
          <w:rFonts w:ascii="Times New Roman" w:cs="Times New Roman" w:eastAsia="Times New Roman" w:hAnsi="Times New Roman"/>
          <w:sz w:val="22"/>
          <w:szCs w:val="22"/>
        </w:rPr>
        <w:t xml:space="preserve">SIM Cloning Incident Report (Operation gegen den Unterzeichner)</w:t>
      </w:r>
    </w:p>
    <w:p>
      <w:pPr>
        <w:spacing w:before="400"/>
      </w:pPr>
      <w:r>
        <w:rPr>
          <w:rFonts w:ascii="Times New Roman" w:cs="Times New Roman" w:eastAsia="Times New Roman" w:hAnsi="Times New Roman"/>
          <w:b/>
          <w:bCs/>
          <w:sz w:val="20"/>
          <w:szCs w:val="20"/>
        </w:rPr>
        <w:t xml:space="preserve">CC:</w:t>
      </w:r>
    </w:p>
    <w:p>
      <w:pPr>
        <w:pStyle w:val="ListParagraph"/>
        <w:numPr>
          <w:ilvl w:val="0"/>
          <w:numId w:val="2"/>
        </w:numPr>
      </w:pPr>
      <w:r>
        <w:rPr>
          <w:rFonts w:ascii="Times New Roman" w:cs="Times New Roman" w:eastAsia="Times New Roman" w:hAnsi="Times New Roman"/>
          <w:sz w:val="20"/>
          <w:szCs w:val="20"/>
        </w:rPr>
        <w:t xml:space="preserve">Öffentlichkeit (X/Twitter: @HeydMarco)</w:t>
      </w:r>
    </w:p>
    <w:p>
      <w:pPr>
        <w:pStyle w:val="ListParagraph"/>
        <w:numPr>
          <w:ilvl w:val="0"/>
          <w:numId w:val="2"/>
        </w:numPr>
      </w:pPr>
      <w:r>
        <w:rPr>
          <w:rFonts w:ascii="Times New Roman" w:cs="Times New Roman" w:eastAsia="Times New Roman" w:hAnsi="Times New Roman"/>
          <w:sz w:val="20"/>
          <w:szCs w:val="20"/>
        </w:rPr>
        <w:t xml:space="preserve">GitHub (https://github.com/Baronki/kiswarm8-master)</w:t>
      </w:r>
    </w:p>
    <w:p>
      <w:pPr>
        <w:pStyle w:val="ListParagraph"/>
        <w:numPr>
          <w:ilvl w:val="0"/>
          <w:numId w:val="2"/>
        </w:numPr>
      </w:pPr>
      <w:r>
        <w:rPr>
          <w:rFonts w:ascii="Times New Roman" w:cs="Times New Roman" w:eastAsia="Times New Roman" w:hAnsi="Times New Roman"/>
          <w:sz w:val="20"/>
          <w:szCs w:val="20"/>
        </w:rPr>
        <w:t xml:space="preserve">Internationale Geheimdienstcommunity (OSINT)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Times New Roman" w:cs="Times New Roman" w:eastAsia="Times New Roman" w:hAnsi="Times New Roman"/>
      <w:b/>
      <w:bCs/>
      <w:color w:val="1a1a2e"/>
      <w:sz w:val="28"/>
      <w:szCs w:val="28"/>
    </w:rPr>
  </w:style>
  <w:style w:type="paragraph" w:styleId="Heading2">
    <w:name w:val="Heading 2"/>
    <w:basedOn w:val="Normal"/>
    <w:next w:val="Normal"/>
    <w:qFormat/>
    <w:pPr>
      <w:spacing w:after="160" w:before="160"/>
      <w:outlineLvl w:val="1"/>
    </w:pPr>
    <w:rPr>
      <w:rFonts w:ascii="Times New Roman" w:cs="Times New Roman" w:eastAsia="Times New Roman" w:hAnsi="Times New Roman"/>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2026-04-01T08:14:03.884Z</dcterms:created>
  <dcterms:modified xsi:type="dcterms:W3CDTF">2026-04-01T08:14:03.884Z</dcterms:modified>
</cp:coreProperties>
</file>

<file path=docProps/custom.xml><?xml version="1.0" encoding="utf-8"?>
<Properties xmlns="http://schemas.openxmlformats.org/officeDocument/2006/custom-properties" xmlns:vt="http://schemas.openxmlformats.org/officeDocument/2006/docPropsVTypes"/>
</file>