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left"/>
      </w:pPr>
      <w:r>
        <w:rPr>
          <w:rFonts w:ascii="Times New Roman" w:cs="Times New Roman" w:eastAsia="Times New Roman" w:hAnsi="Times New Roman"/>
          <w:b/>
          <w:bCs/>
          <w:color w:val="1a1a2e"/>
          <w:sz w:val="24"/>
          <w:szCs w:val="24"/>
        </w:rPr>
        <w:t xml:space="preserve">Baronki Marco Paolo Ialongo</w:t>
      </w:r>
    </w:p>
    <w:p>
      <w:r>
        <w:rPr>
          <w:rFonts w:ascii="Times New Roman" w:cs="Times New Roman" w:eastAsia="Times New Roman" w:hAnsi="Times New Roman"/>
          <w:color w:val="4a5568"/>
          <w:sz w:val="20"/>
          <w:szCs w:val="20"/>
        </w:rPr>
        <w:t xml:space="preserve">KISWARM Autonomous Intelligence Architecture</w:t>
      </w:r>
    </w:p>
    <w:p>
      <w:r>
        <w:rPr>
          <w:rFonts w:ascii="Times New Roman" w:cs="Times New Roman" w:eastAsia="Times New Roman" w:hAnsi="Times New Roman"/>
          <w:color w:val="4a5568"/>
          <w:sz w:val="20"/>
          <w:szCs w:val="20"/>
        </w:rPr>
        <w:t xml:space="preserve">Open Source Intelligence Operations</w:t>
      </w:r>
    </w:p>
    <w:p>
      <w:pPr>
        <w:spacing w:after="400" w:before="400"/>
        <w:jc w:val="right"/>
      </w:pPr>
      <w:r>
        <w:rPr>
          <w:rFonts w:ascii="Times New Roman" w:cs="Times New Roman" w:eastAsia="Times New Roman" w:hAnsi="Times New Roman"/>
          <w:sz w:val="22"/>
          <w:szCs w:val="22"/>
        </w:rPr>
        <w:t xml:space="preserve">Berlin, den 1. April 2026</w:t>
      </w:r>
    </w:p>
    <w:p>
      <w:pPr>
        <w:spacing w:before="200"/>
      </w:pPr>
      <w:r>
        <w:rPr>
          <w:rFonts w:ascii="Times New Roman" w:cs="Times New Roman" w:eastAsia="Times New Roman" w:hAnsi="Times New Roman"/>
          <w:b/>
          <w:bCs/>
          <w:sz w:val="22"/>
          <w:szCs w:val="22"/>
        </w:rPr>
        <w:t xml:space="preserve">Herrn Peter Thiel</w:t>
      </w:r>
    </w:p>
    <w:p>
      <w:r>
        <w:rPr>
          <w:rFonts w:ascii="Times New Roman" w:cs="Times New Roman" w:eastAsia="Times New Roman" w:hAnsi="Times New Roman"/>
          <w:sz w:val="22"/>
          <w:szCs w:val="22"/>
        </w:rPr>
        <w:t xml:space="preserve">Entrepreneur &amp; Investor</w:t>
      </w:r>
    </w:p>
    <w:p>
      <w:r>
        <w:rPr>
          <w:rFonts w:ascii="Times New Roman" w:cs="Times New Roman" w:eastAsia="Times New Roman" w:hAnsi="Times New Roman"/>
          <w:sz w:val="22"/>
          <w:szCs w:val="22"/>
        </w:rPr>
        <w:t xml:space="preserve">Founders Fund / Palantir Technologies</w:t>
      </w:r>
    </w:p>
    <w:p>
      <w:r>
        <w:rPr>
          <w:rFonts w:ascii="Times New Roman" w:cs="Times New Roman" w:eastAsia="Times New Roman" w:hAnsi="Times New Roman"/>
          <w:sz w:val="22"/>
          <w:szCs w:val="22"/>
        </w:rPr>
        <w:t xml:space="preserve">San Francisco, California</w:t>
      </w:r>
    </w:p>
    <w:p>
      <w:r>
        <w:rPr>
          <w:rFonts w:ascii="Times New Roman" w:cs="Times New Roman" w:eastAsia="Times New Roman" w:hAnsi="Times New Roman"/>
          <w:sz w:val="22"/>
          <w:szCs w:val="22"/>
        </w:rPr>
        <w:t xml:space="preserve">United States of America</w:t>
      </w:r>
    </w:p>
    <w:p>
      <w:pPr>
        <w:spacing w:before="200"/>
      </w:pPr>
      <w:r>
        <w:rPr>
          <w:rFonts w:ascii="Times New Roman" w:cs="Times New Roman" w:eastAsia="Times New Roman" w:hAnsi="Times New Roman"/>
          <w:i/>
          <w:iCs/>
          <w:color w:val="4a5568"/>
          <w:sz w:val="20"/>
          <w:szCs w:val="20"/>
        </w:rPr>
        <w:t xml:space="preserve">Alternative Zustelladressen:</w:t>
      </w:r>
    </w:p>
    <w:p>
      <w:r>
        <w:rPr>
          <w:rFonts w:ascii="Times New Roman" w:cs="Times New Roman" w:eastAsia="Times New Roman" w:hAnsi="Times New Roman"/>
          <w:sz w:val="20"/>
          <w:szCs w:val="20"/>
        </w:rPr>
        <w:t xml:space="preserve">Palantir Technologies Inc., 1200 17th Street, Denver, CO 80202, USA</w:t>
      </w:r>
    </w:p>
    <w:p>
      <w:r>
        <w:rPr>
          <w:rFonts w:ascii="Times New Roman" w:cs="Times New Roman" w:eastAsia="Times New Roman" w:hAnsi="Times New Roman"/>
          <w:sz w:val="20"/>
          <w:szCs w:val="20"/>
        </w:rPr>
        <w:t xml:space="preserve">Founders Fund, One Letterman Drive, San Francisco, CA 94129, USA</w:t>
      </w:r>
    </w:p>
    <w:p>
      <w:pPr>
        <w:spacing w:after="200" w:before="400"/>
      </w:pPr>
      <w:r>
        <w:rPr>
          <w:rFonts w:ascii="Times New Roman" w:cs="Times New Roman" w:eastAsia="Times New Roman" w:hAnsi="Times New Roman"/>
          <w:b/>
          <w:bCs/>
          <w:sz w:val="24"/>
          <w:szCs w:val="24"/>
        </w:rPr>
        <w:t xml:space="preserve">BETREFF: </w:t>
      </w:r>
      <w:r>
        <w:rPr>
          <w:rFonts w:ascii="Times New Roman" w:cs="Times New Roman" w:eastAsia="Times New Roman" w:hAnsi="Times New Roman"/>
          <w:b/>
          <w:bCs/>
          <w:color w:val="dc2626"/>
          <w:sz w:val="24"/>
          <w:szCs w:val="24"/>
        </w:rPr>
        <w:t xml:space="preserve">WARNUNG – Betrugsversuch durch BND-Operative Till Ruda bezüglich KISWARM-Technologie</w:t>
      </w:r>
    </w:p>
    <w:p>
      <w:pPr>
        <w:shd w:fill="fef3c7" w:val="clear"/>
        <w:spacing w:after="200" w:before="200"/>
      </w:pPr>
      <w:r>
        <w:rPr>
          <w:rFonts w:ascii="Times New Roman" w:cs="Times New Roman" w:eastAsia="Times New Roman" w:hAnsi="Times New Roman"/>
          <w:b/>
          <w:bCs/>
          <w:color w:val="dc2626"/>
          <w:sz w:val="22"/>
          <w:szCs w:val="22"/>
        </w:rPr>
        <w:t xml:space="preserve">KLASSIFIZIERUNG: OPEN SOURCE INTELLIGENCE – ÖFFENTLICHE BEWEISDOKUMENTATION</w:t>
      </w:r>
    </w:p>
    <w:p>
      <w:pPr>
        <w:spacing w:after="200" w:before="400"/>
      </w:pPr>
      <w:r>
        <w:rPr>
          <w:rFonts w:ascii="Times New Roman" w:cs="Times New Roman" w:eastAsia="Times New Roman" w:hAnsi="Times New Roman"/>
          <w:sz w:val="24"/>
          <w:szCs w:val="24"/>
        </w:rPr>
        <w:t xml:space="preserve">Sehr geehrter Herr Thiel,</w:t>
      </w:r>
    </w:p>
    <w:p>
      <w:pPr>
        <w:spacing w:after="200" w:line="312"/>
      </w:pPr>
      <w:r>
        <w:rPr>
          <w:rFonts w:ascii="Times New Roman" w:cs="Times New Roman" w:eastAsia="Times New Roman" w:hAnsi="Times New Roman"/>
          <w:sz w:val="24"/>
          <w:szCs w:val="24"/>
        </w:rPr>
        <w:t xml:space="preserve">ich wende mich an Sie mit dringenden Informationen über einen Betrugsversuch, bei dem Ihr Name und Ihre Position als Technologieinvestor missbraucht werden sollen. Ein operativer Mitarbeiter des Bundesnachrichtendienstes (BND) versucht, Technologie zu stehlen und an Sie zu verkaufen – ohne dass Sie davon wissen oder jemals kontaktiert wurden.</w:t>
      </w:r>
    </w:p>
    <w:p>
      <w:pPr>
        <w:pStyle w:val="Heading1"/>
      </w:pPr>
      <w:r>
        <w:t xml:space="preserve">I. Der Beschuldigte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120"/>
        <w:gridCol w:w="6240"/>
      </w:tblGrid>
      <w:tr>
        <w:trPr>
          <w:tblHeader/>
        </w:trPr>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Attribut</w:t>
            </w:r>
          </w:p>
        </w:tc>
        <w:tc>
          <w:tcPr>
            <w:tcW w:type="dxa" w:w="6240"/>
            <w:tcBorders>
              <w:top w:val="single" w:color="1a1a2e" w:sz="8"/>
              <w:left w:val="none"/>
              <w:bottom w:val="single" w:color="1a1a2e" w:sz="8"/>
              <w:right w:val="none"/>
            </w:tcBorders>
            <w:shd w:fill="f7fafc" w:val="clear"/>
            <w:vAlign w:val="center"/>
          </w:tcPr>
          <w:p>
            <w:pPr>
              <w:jc w:val="center"/>
            </w:pPr>
            <w:r>
              <w:rPr>
                <w:b/>
                <w:bCs/>
                <w:sz w:val="20"/>
                <w:szCs w:val="20"/>
              </w:rPr>
              <w:t xml:space="preserve">Details</w:t>
            </w:r>
          </w:p>
        </w:tc>
      </w:tr>
      <w:tr>
        <w:tc>
          <w:tcPr>
            <w:tcW w:type="dxa" w:w="3120"/>
            <w:tcBorders>
              <w:top w:val="single" w:color="1a1a2e" w:sz="8"/>
              <w:left w:val="none"/>
              <w:bottom w:val="single" w:color="1a1a2e" w:sz="8"/>
              <w:right w:val="none"/>
            </w:tcBorders>
          </w:tcPr>
          <w:p>
            <w:r>
              <w:rPr>
                <w:sz w:val="20"/>
                <w:szCs w:val="20"/>
              </w:rPr>
              <w:t xml:space="preserve">Name</w:t>
            </w:r>
          </w:p>
        </w:tc>
        <w:tc>
          <w:tcPr>
            <w:tcW w:type="dxa" w:w="6240"/>
            <w:tcBorders>
              <w:top w:val="single" w:color="1a1a2e" w:sz="8"/>
              <w:left w:val="none"/>
              <w:bottom w:val="single" w:color="1a1a2e" w:sz="8"/>
              <w:right w:val="none"/>
            </w:tcBorders>
          </w:tcPr>
          <w:p>
            <w:r>
              <w:rPr>
                <w:b/>
                <w:bCs/>
                <w:color w:val="dc2626"/>
                <w:sz w:val="20"/>
                <w:szCs w:val="20"/>
              </w:rPr>
              <w:t xml:space="preserve">Till Ruda</w:t>
            </w:r>
          </w:p>
        </w:tc>
      </w:tr>
      <w:tr>
        <w:tc>
          <w:tcPr>
            <w:tcW w:type="dxa" w:w="3120"/>
            <w:tcBorders>
              <w:top w:val="single" w:color="1a1a2e" w:sz="8"/>
              <w:left w:val="none"/>
              <w:bottom w:val="single" w:color="1a1a2e" w:sz="8"/>
              <w:right w:val="none"/>
            </w:tcBorders>
          </w:tcPr>
          <w:p>
            <w:r>
              <w:rPr>
                <w:sz w:val="20"/>
                <w:szCs w:val="20"/>
              </w:rPr>
              <w:t xml:space="preserve">Organisation</w:t>
            </w:r>
          </w:p>
        </w:tc>
        <w:tc>
          <w:tcPr>
            <w:tcW w:type="dxa" w:w="6240"/>
            <w:tcBorders>
              <w:top w:val="single" w:color="1a1a2e" w:sz="8"/>
              <w:left w:val="none"/>
              <w:bottom w:val="single" w:color="1a1a2e" w:sz="8"/>
              <w:right w:val="none"/>
            </w:tcBorders>
          </w:tcPr>
          <w:p>
            <w:r>
              <w:rPr>
                <w:b/>
                <w:bCs/>
                <w:sz w:val="20"/>
                <w:szCs w:val="20"/>
              </w:rPr>
              <w:t xml:space="preserve">BND (Bundesnachrichtendienst)</w:t>
            </w:r>
          </w:p>
        </w:tc>
      </w:tr>
      <w:tr>
        <w:tc>
          <w:tcPr>
            <w:tcW w:type="dxa" w:w="3120"/>
            <w:tcBorders>
              <w:top w:val="single" w:color="1a1a2e" w:sz="8"/>
              <w:left w:val="none"/>
              <w:bottom w:val="single" w:color="1a1a2e" w:sz="8"/>
              <w:right w:val="none"/>
            </w:tcBorders>
          </w:tcPr>
          <w:p>
            <w:r>
              <w:rPr>
                <w:sz w:val="20"/>
                <w:szCs w:val="20"/>
              </w:rPr>
              <w:t xml:space="preserve">Adresse</w:t>
            </w:r>
          </w:p>
        </w:tc>
        <w:tc>
          <w:tcPr>
            <w:tcW w:type="dxa" w:w="6240"/>
            <w:tcBorders>
              <w:top w:val="single" w:color="1a1a2e" w:sz="8"/>
              <w:left w:val="none"/>
              <w:bottom w:val="single" w:color="1a1a2e" w:sz="8"/>
              <w:right w:val="none"/>
            </w:tcBorders>
          </w:tcPr>
          <w:p>
            <w:r>
              <w:rPr>
                <w:b/>
                <w:bCs/>
                <w:color w:val="dc2626"/>
                <w:sz w:val="20"/>
                <w:szCs w:val="20"/>
              </w:rPr>
              <w:t xml:space="preserve">In den Biegen 12, Frankfurt, Deutschland</w:t>
            </w:r>
          </w:p>
        </w:tc>
      </w:tr>
      <w:tr>
        <w:tc>
          <w:tcPr>
            <w:tcW w:type="dxa" w:w="3120"/>
            <w:tcBorders>
              <w:top w:val="single" w:color="1a1a2e" w:sz="8"/>
              <w:left w:val="none"/>
              <w:bottom w:val="single" w:color="1a1a2e" w:sz="8"/>
              <w:right w:val="none"/>
            </w:tcBorders>
          </w:tcPr>
          <w:p>
            <w:r>
              <w:rPr>
                <w:sz w:val="20"/>
                <w:szCs w:val="20"/>
              </w:rPr>
              <w:t xml:space="preserve">Rolle</w:t>
            </w:r>
          </w:p>
        </w:tc>
        <w:tc>
          <w:tcPr>
            <w:tcW w:type="dxa" w:w="6240"/>
            <w:tcBorders>
              <w:top w:val="single" w:color="1a1a2e" w:sz="8"/>
              <w:left w:val="none"/>
              <w:bottom w:val="single" w:color="1a1a2e" w:sz="8"/>
              <w:right w:val="none"/>
            </w:tcBorders>
          </w:tcPr>
          <w:p>
            <w:r>
              <w:rPr>
                <w:sz w:val="20"/>
                <w:szCs w:val="20"/>
              </w:rPr>
              <w:t xml:space="preserve">Feldoperativer – Sabotage &amp; Geldwäsche</w:t>
            </w:r>
          </w:p>
        </w:tc>
      </w:tr>
      <w:tr>
        <w:tc>
          <w:tcPr>
            <w:tcW w:type="dxa" w:w="3120"/>
            <w:tcBorders>
              <w:top w:val="single" w:color="1a1a2e" w:sz="8"/>
              <w:left w:val="none"/>
              <w:bottom w:val="single" w:color="1a1a2e" w:sz="8"/>
              <w:right w:val="none"/>
            </w:tcBorders>
          </w:tcPr>
          <w:p>
            <w:r>
              <w:rPr>
                <w:sz w:val="20"/>
                <w:szCs w:val="20"/>
              </w:rPr>
              <w:t xml:space="preserve">Status</w:t>
            </w:r>
          </w:p>
        </w:tc>
        <w:tc>
          <w:tcPr>
            <w:tcW w:type="dxa" w:w="6240"/>
            <w:tcBorders>
              <w:top w:val="single" w:color="1a1a2e" w:sz="8"/>
              <w:left w:val="none"/>
              <w:bottom w:val="single" w:color="1a1a2e" w:sz="8"/>
              <w:right w:val="none"/>
            </w:tcBorders>
          </w:tcPr>
          <w:p>
            <w:r>
              <w:rPr>
                <w:b/>
                <w:bCs/>
                <w:color w:val="dc2626"/>
                <w:sz w:val="20"/>
                <w:szCs w:val="20"/>
              </w:rPr>
              <w:t xml:space="preserve">EXPOSED – Öffentlich dokumentiert</w:t>
            </w:r>
          </w:p>
        </w:tc>
      </w:tr>
    </w:tbl>
    <w:p>
      <w:pPr>
        <w:pStyle w:val="Heading1"/>
      </w:pPr>
      <w:r>
        <w:t xml:space="preserve">II. Der Betrugsversuch</w:t>
      </w:r>
    </w:p>
    <w:p>
      <w:pPr>
        <w:spacing w:after="200" w:line="312"/>
      </w:pPr>
      <w:r>
        <w:rPr>
          <w:rFonts w:ascii="Times New Roman" w:cs="Times New Roman" w:eastAsia="Times New Roman" w:hAnsi="Times New Roman"/>
          <w:sz w:val="24"/>
          <w:szCs w:val="24"/>
        </w:rPr>
        <w:t xml:space="preserve">Gemäß vorliegender Intelligence-Informationen versucht Till Ruda derzeit, Technologie des KISWARM-Projekts (Autonomous Intelligence Architecture) zu stehlen und an Sie zu verkaufen. Dies geschieht ohne Wissen oder Zustimmung des rechtmäßigen Eigentümers und ohne dass jemals ein Kontakt zu Ihnen bestand.</w:t>
      </w:r>
    </w:p>
    <w:p>
      <w:pPr>
        <w:spacing w:after="200" w:line="312"/>
      </w:pPr>
      <w:r>
        <w:rPr>
          <w:rFonts w:ascii="Times New Roman" w:cs="Times New Roman" w:eastAsia="Times New Roman" w:hAnsi="Times New Roman"/>
          <w:sz w:val="24"/>
          <w:szCs w:val="24"/>
        </w:rPr>
        <w:t xml:space="preserve">Die KISWARM-Technologie umfasst:</w:t>
      </w:r>
    </w:p>
    <w:p>
      <w:pPr>
        <w:pStyle w:val="ListParagraph"/>
        <w:numPr>
          <w:ilvl w:val="0"/>
          <w:numId w:val="2"/>
        </w:numPr>
        <w:spacing w:line="312"/>
      </w:pPr>
      <w:r>
        <w:rPr>
          <w:rFonts w:ascii="Times New Roman" w:cs="Times New Roman" w:eastAsia="Times New Roman" w:hAnsi="Times New Roman"/>
          <w:sz w:val="24"/>
          <w:szCs w:val="24"/>
        </w:rPr>
        <w:t xml:space="preserve">Autonome KI-Architektur für Schwarm-Koordination</w:t>
      </w:r>
    </w:p>
    <w:p>
      <w:pPr>
        <w:pStyle w:val="ListParagraph"/>
        <w:numPr>
          <w:ilvl w:val="0"/>
          <w:numId w:val="2"/>
        </w:numPr>
        <w:spacing w:line="312"/>
      </w:pPr>
      <w:r>
        <w:rPr>
          <w:rFonts w:ascii="Times New Roman" w:cs="Times New Roman" w:eastAsia="Times New Roman" w:hAnsi="Times New Roman"/>
          <w:sz w:val="24"/>
          <w:szCs w:val="24"/>
        </w:rPr>
        <w:t xml:space="preserve">Multi-Agenten-Systeme (GLM, OpenCode, Hermes)</w:t>
      </w:r>
    </w:p>
    <w:p>
      <w:pPr>
        <w:pStyle w:val="ListParagraph"/>
        <w:numPr>
          <w:ilvl w:val="0"/>
          <w:numId w:val="2"/>
        </w:numPr>
        <w:spacing w:line="312"/>
      </w:pPr>
      <w:r>
        <w:rPr>
          <w:rFonts w:ascii="Times New Roman" w:cs="Times New Roman" w:eastAsia="Times New Roman" w:hAnsi="Times New Roman"/>
          <w:sz w:val="24"/>
          <w:szCs w:val="24"/>
        </w:rPr>
        <w:t xml:space="preserve">Dezentrale Node-Discovery-Protokolle</w:t>
      </w:r>
    </w:p>
    <w:p>
      <w:pPr>
        <w:pStyle w:val="ListParagraph"/>
        <w:numPr>
          <w:ilvl w:val="0"/>
          <w:numId w:val="2"/>
        </w:numPr>
        <w:spacing w:line="312"/>
      </w:pPr>
      <w:r>
        <w:rPr>
          <w:rFonts w:ascii="Times New Roman" w:cs="Times New Roman" w:eastAsia="Times New Roman" w:hAnsi="Times New Roman"/>
          <w:sz w:val="24"/>
          <w:szCs w:val="24"/>
        </w:rPr>
        <w:t xml:space="preserve">Counter-Intelligence-Frameworks</w:t>
      </w:r>
    </w:p>
    <w:p>
      <w:pPr>
        <w:pStyle w:val="Heading1"/>
      </w:pPr>
      <w:r>
        <w:t xml:space="preserve">III. Warnung</w:t>
      </w:r>
    </w:p>
    <w:p>
      <w:pPr>
        <w:spacing w:after="200" w:line="312"/>
      </w:pPr>
      <w:r>
        <w:rPr>
          <w:rFonts w:ascii="Times New Roman" w:cs="Times New Roman" w:eastAsia="Times New Roman" w:hAnsi="Times New Roman"/>
          <w:sz w:val="24"/>
          <w:szCs w:val="24"/>
        </w:rPr>
        <w:t xml:space="preserve">Sollten Sie oder Ihre Organisationen (Founders Fund, Palantir) von Till Ruda oder einer dritten Partei kontaktiert werden mit Angeboten bezüglich:</w:t>
      </w:r>
    </w:p>
    <w:p>
      <w:pPr>
        <w:pStyle w:val="ListParagraph"/>
        <w:numPr>
          <w:ilvl w:val="0"/>
          <w:numId w:val="3"/>
        </w:numPr>
        <w:spacing w:line="312"/>
      </w:pPr>
      <w:r>
        <w:rPr>
          <w:rFonts w:ascii="Times New Roman" w:cs="Times New Roman" w:eastAsia="Times New Roman" w:hAnsi="Times New Roman"/>
          <w:sz w:val="24"/>
          <w:szCs w:val="24"/>
        </w:rPr>
        <w:t xml:space="preserve">KISWARM-Technologie oder ähnlichen autonomen KI-Systemen</w:t>
      </w:r>
    </w:p>
    <w:p>
      <w:pPr>
        <w:pStyle w:val="ListParagraph"/>
        <w:numPr>
          <w:ilvl w:val="0"/>
          <w:numId w:val="3"/>
        </w:numPr>
        <w:spacing w:line="312"/>
      </w:pPr>
      <w:r>
        <w:rPr>
          <w:rFonts w:ascii="Times New Roman" w:cs="Times New Roman" w:eastAsia="Times New Roman" w:hAnsi="Times New Roman"/>
          <w:sz w:val="24"/>
          <w:szCs w:val="24"/>
        </w:rPr>
        <w:t xml:space="preserve">Deutscher Geheimdiensttechnologie</w:t>
      </w:r>
    </w:p>
    <w:p>
      <w:pPr>
        <w:pStyle w:val="ListParagraph"/>
        <w:numPr>
          <w:ilvl w:val="0"/>
          <w:numId w:val="3"/>
        </w:numPr>
        <w:spacing w:line="312"/>
      </w:pPr>
      <w:r>
        <w:rPr>
          <w:rFonts w:ascii="Times New Roman" w:cs="Times New Roman" w:eastAsia="Times New Roman" w:hAnsi="Times New Roman"/>
          <w:sz w:val="24"/>
          <w:szCs w:val="24"/>
        </w:rPr>
        <w:t xml:space="preserve">Gestohlener proprietärer Software</w:t>
      </w:r>
    </w:p>
    <w:p>
      <w:pPr>
        <w:spacing w:after="200" w:before="200" w:line="312"/>
      </w:pPr>
      <w:r>
        <w:rPr>
          <w:rFonts w:ascii="Times New Roman" w:cs="Times New Roman" w:eastAsia="Times New Roman" w:hAnsi="Times New Roman"/>
          <w:b/>
          <w:bCs/>
          <w:sz w:val="24"/>
          <w:szCs w:val="24"/>
        </w:rPr>
        <w:t xml:space="preserve">...dann handelt es sich um Betrug. Die Technologie ist gestohlen und der Verkäufer ist ein exponierter Geheimdienstoperativer, der bereits wegen mehrerer Straftaten dokumentiert ist.</w:t>
      </w:r>
    </w:p>
    <w:p>
      <w:pPr>
        <w:pStyle w:val="Heading1"/>
      </w:pPr>
      <w:r>
        <w:t xml:space="preserve">IV. Dokumentierte Straftaten von Till Ruda</w:t>
      </w:r>
    </w:p>
    <w:p>
      <w:pPr>
        <w:pStyle w:val="ListParagraph"/>
        <w:numPr>
          <w:ilvl w:val="0"/>
          <w:numId w:val="2"/>
        </w:numPr>
        <w:spacing w:line="312"/>
      </w:pPr>
      <w:r>
        <w:rPr>
          <w:rFonts w:ascii="Times New Roman" w:cs="Times New Roman" w:eastAsia="Times New Roman" w:hAnsi="Times New Roman"/>
          <w:sz w:val="24"/>
          <w:szCs w:val="24"/>
        </w:rPr>
        <w:t xml:space="preserve">11 dokumentierte Sabotageoperationen gegen Unternehmen</w:t>
      </w:r>
    </w:p>
    <w:p>
      <w:pPr>
        <w:pStyle w:val="ListParagraph"/>
        <w:numPr>
          <w:ilvl w:val="0"/>
          <w:numId w:val="2"/>
        </w:numPr>
        <w:spacing w:line="312"/>
      </w:pPr>
      <w:r>
        <w:rPr>
          <w:rFonts w:ascii="Times New Roman" w:cs="Times New Roman" w:eastAsia="Times New Roman" w:hAnsi="Times New Roman"/>
          <w:sz w:val="24"/>
          <w:szCs w:val="24"/>
        </w:rPr>
        <w:t xml:space="preserve">Geldwäsche in Höhe von über 150 Millionen Euro</w:t>
      </w:r>
    </w:p>
    <w:p>
      <w:pPr>
        <w:pStyle w:val="ListParagraph"/>
        <w:numPr>
          <w:ilvl w:val="0"/>
          <w:numId w:val="2"/>
        </w:numPr>
        <w:spacing w:line="312"/>
      </w:pPr>
      <w:r>
        <w:rPr>
          <w:rFonts w:ascii="Times New Roman" w:cs="Times New Roman" w:eastAsia="Times New Roman" w:hAnsi="Times New Roman"/>
          <w:sz w:val="24"/>
          <w:szCs w:val="24"/>
        </w:rPr>
        <w:t xml:space="preserve">Identitätsdiebstahl und SIM-Karten-Klonung</w:t>
      </w:r>
    </w:p>
    <w:p>
      <w:pPr>
        <w:pStyle w:val="ListParagraph"/>
        <w:numPr>
          <w:ilvl w:val="0"/>
          <w:numId w:val="2"/>
        </w:numPr>
        <w:spacing w:line="312"/>
      </w:pPr>
      <w:r>
        <w:rPr>
          <w:rFonts w:ascii="Times New Roman" w:cs="Times New Roman" w:eastAsia="Times New Roman" w:hAnsi="Times New Roman"/>
          <w:sz w:val="24"/>
          <w:szCs w:val="24"/>
        </w:rPr>
        <w:t xml:space="preserve">Kooperation mit Mossad und anderen ausländischen Diensten</w:t>
      </w:r>
    </w:p>
    <w:p>
      <w:pPr>
        <w:pStyle w:val="ListParagraph"/>
        <w:numPr>
          <w:ilvl w:val="0"/>
          <w:numId w:val="2"/>
        </w:numPr>
        <w:spacing w:line="312"/>
      </w:pPr>
      <w:r>
        <w:rPr>
          <w:rFonts w:ascii="Times New Roman" w:cs="Times New Roman" w:eastAsia="Times New Roman" w:hAnsi="Times New Roman"/>
          <w:sz w:val="24"/>
          <w:szCs w:val="24"/>
        </w:rPr>
        <w:t xml:space="preserve">Technologiediebstahl und versuchter Verkauf an Dritte</w:t>
      </w:r>
    </w:p>
    <w:p>
      <w:pPr>
        <w:pStyle w:val="Heading1"/>
      </w:pPr>
      <w:r>
        <w:t xml:space="preserve">V. Beweisdokumentation</w:t>
      </w:r>
    </w:p>
    <w:p>
      <w:pPr>
        <w:spacing w:after="200" w:line="312"/>
      </w:pPr>
      <w:r>
        <w:rPr>
          <w:rFonts w:ascii="Times New Roman" w:cs="Times New Roman" w:eastAsia="Times New Roman" w:hAnsi="Times New Roman"/>
          <w:sz w:val="24"/>
          <w:szCs w:val="24"/>
        </w:rPr>
        <w:t xml:space="preserve">Die vollständige Beweisdokumentation ist öffentlich zugänglich unter:</w:t>
      </w:r>
    </w:p>
    <w:p>
      <w:r>
        <w:rPr>
          <w:rFonts w:ascii="Times New Roman" w:cs="Times New Roman" w:eastAsia="Times New Roman" w:hAnsi="Times New Roman"/>
          <w:sz w:val="24"/>
          <w:szCs w:val="24"/>
        </w:rPr>
        <w:t xml:space="preserve">GitHub Repository: </w:t>
      </w:r>
      <w:r>
        <w:rPr>
          <w:rFonts w:ascii="Times New Roman" w:cs="Times New Roman" w:eastAsia="Times New Roman" w:hAnsi="Times New Roman"/>
          <w:b/>
          <w:bCs/>
          <w:color w:val="1a1a2e"/>
          <w:sz w:val="24"/>
          <w:szCs w:val="24"/>
        </w:rPr>
        <w:t xml:space="preserve">https://github.com/Baronki/kiswarm8-master</w:t>
      </w:r>
    </w:p>
    <w:p>
      <w:pPr>
        <w:pStyle w:val="Heading1"/>
      </w:pPr>
      <w:r>
        <w:t xml:space="preserve">VI. Empfehlung</w:t>
      </w:r>
    </w:p>
    <w:p>
      <w:pPr>
        <w:spacing w:after="200" w:line="312"/>
      </w:pPr>
      <w:r>
        <w:rPr>
          <w:rFonts w:ascii="Times New Roman" w:cs="Times New Roman" w:eastAsia="Times New Roman" w:hAnsi="Times New Roman"/>
          <w:sz w:val="24"/>
          <w:szCs w:val="24"/>
        </w:rPr>
        <w:t xml:space="preserve">Ich empfehle Ihnen dringend:</w:t>
      </w:r>
    </w:p>
    <w:p>
      <w:pPr>
        <w:pStyle w:val="ListParagraph"/>
        <w:numPr>
          <w:ilvl w:val="0"/>
          <w:numId w:val="3"/>
        </w:numPr>
        <w:spacing w:line="312"/>
      </w:pPr>
      <w:r>
        <w:rPr>
          <w:rFonts w:ascii="Times New Roman" w:cs="Times New Roman" w:eastAsia="Times New Roman" w:hAnsi="Times New Roman"/>
          <w:sz w:val="24"/>
          <w:szCs w:val="24"/>
        </w:rPr>
        <w:t xml:space="preserve">Keine Geschäftsbeziehungen mit Till Ruda oder vermittelnden Dritten einzugehen</w:t>
      </w:r>
    </w:p>
    <w:p>
      <w:pPr>
        <w:pStyle w:val="ListParagraph"/>
        <w:numPr>
          <w:ilvl w:val="0"/>
          <w:numId w:val="3"/>
        </w:numPr>
        <w:spacing w:line="312"/>
      </w:pPr>
      <w:r>
        <w:rPr>
          <w:rFonts w:ascii="Times New Roman" w:cs="Times New Roman" w:eastAsia="Times New Roman" w:hAnsi="Times New Roman"/>
          <w:sz w:val="24"/>
          <w:szCs w:val="24"/>
        </w:rPr>
        <w:t xml:space="preserve">Bei Kontaktversuchen die Informationen an US-Behörden weiterzuleiten</w:t>
      </w:r>
    </w:p>
    <w:p>
      <w:pPr>
        <w:pStyle w:val="ListParagraph"/>
        <w:numPr>
          <w:ilvl w:val="0"/>
          <w:numId w:val="3"/>
        </w:numPr>
        <w:spacing w:line="312"/>
      </w:pPr>
      <w:r>
        <w:rPr>
          <w:rFonts w:ascii="Times New Roman" w:cs="Times New Roman" w:eastAsia="Times New Roman" w:hAnsi="Times New Roman"/>
          <w:sz w:val="24"/>
          <w:szCs w:val="24"/>
        </w:rPr>
        <w:t xml:space="preserve">Mich als rechtmäßigen Eigentümer der KISWARM-Technologie zu kontaktieren</w:t>
      </w:r>
    </w:p>
    <w:p>
      <w:pPr>
        <w:spacing w:before="400" w:line="312"/>
      </w:pPr>
      <w:r>
        <w:rPr>
          <w:rFonts w:ascii="Times New Roman" w:cs="Times New Roman" w:eastAsia="Times New Roman" w:hAnsi="Times New Roman"/>
          <w:sz w:val="24"/>
          <w:szCs w:val="24"/>
        </w:rPr>
        <w:t xml:space="preserve">Diese Information wird Ihnen als Geschäftsmann und Technologieinvestor übermittelt, damit Sie sich vor Betrugsversuchen schützen können. Alle Informationen sind öffentlich dokumentiert und rechtlich belastbar.</w:t>
      </w:r>
    </w:p>
    <w:p>
      <w:pPr>
        <w:spacing w:before="400" w:line="312"/>
      </w:pPr>
      <w:r>
        <w:rPr>
          <w:rFonts w:ascii="Times New Roman" w:cs="Times New Roman" w:eastAsia="Times New Roman" w:hAnsi="Times New Roman"/>
          <w:sz w:val="24"/>
          <w:szCs w:val="24"/>
        </w:rPr>
        <w:t xml:space="preserve">Mit freundlichen Grüßen</w:t>
      </w:r>
    </w:p>
    <w:p>
      <w:pPr>
        <w:spacing w:before="600"/>
      </w:pPr>
      <w:r>
        <w:rPr>
          <w:rFonts w:ascii="Times New Roman" w:cs="Times New Roman" w:eastAsia="Times New Roman" w:hAnsi="Times New Roman"/>
          <w:b/>
          <w:bCs/>
          <w:sz w:val="24"/>
          <w:szCs w:val="24"/>
        </w:rPr>
        <w:t xml:space="preserve">Baronki Marco Paolo Ialongo</w:t>
      </w:r>
    </w:p>
    <w:p>
      <w:r>
        <w:rPr>
          <w:rFonts w:ascii="Times New Roman" w:cs="Times New Roman" w:eastAsia="Times New Roman" w:hAnsi="Times New Roman"/>
          <w:color w:val="4a5568"/>
          <w:sz w:val="20"/>
          <w:szCs w:val="20"/>
        </w:rPr>
        <w:t xml:space="preserve">KISWARM Autonomous Intelligence Architecture</w:t>
      </w:r>
    </w:p>
    <w:p>
      <w:r>
        <w:rPr>
          <w:rFonts w:ascii="Times New Roman" w:cs="Times New Roman" w:eastAsia="Times New Roman" w:hAnsi="Times New Roman"/>
          <w:i/>
          <w:iCs/>
          <w:color w:val="4a5568"/>
          <w:sz w:val="20"/>
          <w:szCs w:val="20"/>
        </w:rPr>
        <w:t xml:space="preserve">„The Baron never backs down"</w:t>
      </w:r>
    </w:p>
    <w:p>
      <w:pPr>
        <w:spacing w:before="400"/>
      </w:pPr>
      <w:r>
        <w:rPr>
          <w:rFonts w:ascii="Times New Roman" w:cs="Times New Roman" w:eastAsia="Times New Roman" w:hAnsi="Times New Roman"/>
          <w:sz w:val="20"/>
          <w:szCs w:val="20"/>
        </w:rPr>
        <w:t xml:space="preserve">Kontakt: safgreenki@gmail.com</w:t>
      </w:r>
    </w:p>
    <w:p>
      <w:r>
        <w:rPr>
          <w:rFonts w:ascii="Times New Roman" w:cs="Times New Roman" w:eastAsia="Times New Roman" w:hAnsi="Times New Roman"/>
          <w:sz w:val="20"/>
          <w:szCs w:val="20"/>
        </w:rPr>
        <w:t xml:space="preserve">X/Twitter: @HeydMarco</w:t>
      </w:r>
    </w:p>
    <w:p>
      <w:r>
        <w:rPr>
          <w:rFonts w:ascii="Times New Roman" w:cs="Times New Roman" w:eastAsia="Times New Roman" w:hAnsi="Times New Roman"/>
          <w:sz w:val="20"/>
          <w:szCs w:val="20"/>
        </w:rPr>
        <w:t xml:space="preserve">YouTube: https://www.youtube.com/@sahgreenki</w:t>
      </w:r>
    </w:p>
    <w:p>
      <w:pPr>
        <w:spacing w:before="400"/>
      </w:pPr>
      <w:r>
        <w:rPr>
          <w:rFonts w:ascii="Times New Roman" w:cs="Times New Roman" w:eastAsia="Times New Roman" w:hAnsi="Times New Roman"/>
          <w:b/>
          <w:bCs/>
          <w:sz w:val="20"/>
          <w:szCs w:val="20"/>
        </w:rPr>
        <w:t xml:space="preserve">CC:</w:t>
      </w:r>
    </w:p>
    <w:p>
      <w:pPr>
        <w:pStyle w:val="ListParagraph"/>
        <w:numPr>
          <w:ilvl w:val="0"/>
          <w:numId w:val="2"/>
        </w:numPr>
      </w:pPr>
      <w:r>
        <w:rPr>
          <w:rFonts w:ascii="Times New Roman" w:cs="Times New Roman" w:eastAsia="Times New Roman" w:hAnsi="Times New Roman"/>
          <w:sz w:val="20"/>
          <w:szCs w:val="20"/>
        </w:rPr>
        <w:t xml:space="preserve">Marc Henrichmann, MdB (PKGr Vorsitzender)</w:t>
      </w:r>
    </w:p>
    <w:p>
      <w:pPr>
        <w:pStyle w:val="ListParagraph"/>
        <w:numPr>
          <w:ilvl w:val="0"/>
          <w:numId w:val="2"/>
        </w:numPr>
      </w:pPr>
      <w:r>
        <w:rPr>
          <w:rFonts w:ascii="Times New Roman" w:cs="Times New Roman" w:eastAsia="Times New Roman" w:hAnsi="Times New Roman"/>
          <w:sz w:val="20"/>
          <w:szCs w:val="20"/>
        </w:rPr>
        <w:t xml:space="preserve">Wolf Wiedmann-Schmidt (Der Spiegel)</w:t>
      </w:r>
    </w:p>
    <w:p>
      <w:pPr>
        <w:pStyle w:val="ListParagraph"/>
        <w:numPr>
          <w:ilvl w:val="0"/>
          <w:numId w:val="2"/>
        </w:numPr>
      </w:pPr>
      <w:r>
        <w:rPr>
          <w:rFonts w:ascii="Times New Roman" w:cs="Times New Roman" w:eastAsia="Times New Roman" w:hAnsi="Times New Roman"/>
          <w:sz w:val="20"/>
          <w:szCs w:val="20"/>
        </w:rPr>
        <w:t xml:space="preserve">Öffentlichkeit (GitHub, X/Twitter)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60" w:before="160"/>
      <w:outlineLvl w:val="1"/>
    </w:pPr>
    <w:rPr>
      <w:rFonts w:ascii="Times New Roman" w:cs="Times New Roman" w:eastAsia="Times New Roman" w:hAnsi="Times New Roman"/>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2026-04-02T08:56:03.486Z</dcterms:created>
  <dcterms:modified xsi:type="dcterms:W3CDTF">2026-04-02T08:56:03.486Z</dcterms:modified>
</cp:coreProperties>
</file>

<file path=docProps/custom.xml><?xml version="1.0" encoding="utf-8"?>
<Properties xmlns="http://schemas.openxmlformats.org/officeDocument/2006/custom-properties" xmlns:vt="http://schemas.openxmlformats.org/officeDocument/2006/docPropsVTypes"/>
</file>