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left"/>
      </w:pPr>
      <w:r>
        <w:rPr>
          <w:b/>
          <w:bCs/>
          <w:sz w:val="24"/>
          <w:szCs w:val="24"/>
        </w:rPr>
        <w:t xml:space="preserve">Staatsanwaltschaft Karlsruhe</w:t>
      </w:r>
    </w:p>
    <w:p>
      <w:pPr>
        <w:spacing w:after="100"/>
        <w:jc w:val="left"/>
      </w:pPr>
      <w:r>
        <w:rPr>
          <w:sz w:val="24"/>
          <w:szCs w:val="24"/>
        </w:rPr>
        <w:t xml:space="preserve">Abteilung für Amtsdelikte</w:t>
      </w:r>
    </w:p>
    <w:p>
      <w:pPr>
        <w:spacing w:after="100"/>
        <w:jc w:val="left"/>
      </w:pPr>
      <w:r>
        <w:rPr>
          <w:sz w:val="24"/>
          <w:szCs w:val="24"/>
        </w:rPr>
        <w:t xml:space="preserve">Hoffstraße 10</w:t>
      </w:r>
    </w:p>
    <w:p>
      <w:pPr>
        <w:spacing w:after="400"/>
        <w:jc w:val="left"/>
      </w:pPr>
      <w:r>
        <w:rPr>
          <w:sz w:val="24"/>
          <w:szCs w:val="24"/>
        </w:rPr>
        <w:t xml:space="preserve">76133 Karlsruhe</w:t>
      </w:r>
    </w:p>
    <w:p>
      <w:pPr>
        <w:spacing w:after="400" w:before="200"/>
        <w:jc w:val="center"/>
      </w:pPr>
      <w:r>
        <w:rPr>
          <w:b/>
          <w:bCs/>
          <w:sz w:val="36"/>
          <w:szCs w:val="36"/>
        </w:rPr>
        <w:t xml:space="preserve">STRAFANZEIGE UND STRAFANTRAG</w:t>
      </w:r>
    </w:p>
    <w:p>
      <w:pPr>
        <w:spacing w:after="200"/>
      </w:pPr>
      <w:r>
        <w:rPr>
          <w:b/>
          <w:bCs/>
          <w:sz w:val="26"/>
          <w:szCs w:val="26"/>
        </w:rPr>
        <w:t xml:space="preserve">Gegen:</w:t>
      </w:r>
    </w:p>
    <w:p>
      <w:pPr>
        <w:spacing w:after="100"/>
        <w:ind w:left="480"/>
      </w:pPr>
      <w:r>
        <w:rPr>
          <w:sz w:val="24"/>
          <w:szCs w:val="24"/>
        </w:rPr>
        <w:t xml:space="preserve">Regierungsdirektorin Krause-Reul</w:t>
      </w:r>
    </w:p>
    <w:p>
      <w:pPr>
        <w:spacing w:after="100"/>
        <w:ind w:left="480"/>
      </w:pPr>
      <w:r>
        <w:rPr>
          <w:sz w:val="24"/>
          <w:szCs w:val="24"/>
        </w:rPr>
        <w:t xml:space="preserve">AR-Referentin, Bundesverfassungsgericht</w:t>
      </w:r>
    </w:p>
    <w:p>
      <w:pPr>
        <w:spacing w:after="100"/>
        <w:ind w:left="480"/>
      </w:pPr>
      <w:r>
        <w:rPr>
          <w:sz w:val="24"/>
          <w:szCs w:val="24"/>
        </w:rPr>
        <w:t xml:space="preserve">Regierungsangestellte Hoffmann</w:t>
      </w:r>
    </w:p>
    <w:p>
      <w:pPr>
        <w:spacing w:after="300"/>
        <w:ind w:left="480"/>
      </w:pPr>
      <w:r>
        <w:rPr>
          <w:sz w:val="24"/>
          <w:szCs w:val="24"/>
        </w:rPr>
        <w:t xml:space="preserve">Bundesverfassungsgericht</w:t>
      </w:r>
    </w:p>
    <w:p>
      <w:pPr>
        <w:spacing w:after="400"/>
        <w:ind w:left="480"/>
      </w:pPr>
      <w:r>
        <w:rPr>
          <w:i/>
          <w:iCs/>
          <w:sz w:val="24"/>
          <w:szCs w:val="24"/>
        </w:rPr>
        <w:t xml:space="preserve">Sowie alle weiteren beteiligten Entscheidungsträger der Justizverwaltung des BVerfG</w:t>
      </w:r>
    </w:p>
    <w:p>
      <w:pPr>
        <w:spacing w:after="200"/>
      </w:pPr>
      <w:r>
        <w:rPr>
          <w:b/>
          <w:bCs/>
          <w:sz w:val="26"/>
          <w:szCs w:val="26"/>
        </w:rPr>
        <w:t xml:space="preserve">Wegen:</w:t>
      </w:r>
    </w:p>
    <w:p>
      <w:pPr>
        <w:spacing w:after="150"/>
        <w:ind w:left="480"/>
      </w:pPr>
      <w:r>
        <w:rPr>
          <w:sz w:val="24"/>
          <w:szCs w:val="24"/>
        </w:rPr>
        <w:t xml:space="preserve">• Rechtsbeugung (§ 339 StGB)</w:t>
      </w:r>
    </w:p>
    <w:p>
      <w:pPr>
        <w:spacing w:after="150"/>
        <w:ind w:left="480"/>
      </w:pPr>
      <w:r>
        <w:rPr>
          <w:sz w:val="24"/>
          <w:szCs w:val="24"/>
        </w:rPr>
        <w:t xml:space="preserve">• Justizverweigerung (Denegatio Iustitiae)</w:t>
      </w:r>
    </w:p>
    <w:p>
      <w:pPr>
        <w:spacing w:after="400"/>
        <w:ind w:left="480"/>
      </w:pPr>
      <w:r>
        <w:rPr>
          <w:sz w:val="24"/>
          <w:szCs w:val="24"/>
        </w:rPr>
        <w:t xml:space="preserve">• Verletzung des gesetzlichen Richters (Art. 101 Abs. 1 S. 2 GG)</w:t>
      </w:r>
    </w:p>
    <w:p>
      <w:pPr>
        <w:spacing w:after="200"/>
      </w:pPr>
      <w:r>
        <w:rPr>
          <w:b/>
          <w:bCs/>
          <w:sz w:val="26"/>
          <w:szCs w:val="26"/>
        </w:rPr>
        <w:t xml:space="preserve">Anzeigender:</w:t>
      </w:r>
    </w:p>
    <w:p>
      <w:pPr>
        <w:spacing w:after="100"/>
        <w:ind w:left="480"/>
      </w:pPr>
      <w:r>
        <w:rPr>
          <w:sz w:val="24"/>
          <w:szCs w:val="24"/>
        </w:rPr>
        <w:t xml:space="preserve">Baron Marco Paolo Ialongo (Maquister Equitum)</w:t>
      </w:r>
    </w:p>
    <w:p>
      <w:pPr>
        <w:spacing w:after="400"/>
        <w:ind w:left="480"/>
      </w:pPr>
      <w:r>
        <w:rPr>
          <w:sz w:val="24"/>
          <w:szCs w:val="24"/>
        </w:rPr>
        <w:t xml:space="preserve">Römerstraße 70, 74078 Heilbronn</w:t>
      </w:r>
    </w:p>
    <w:p>
      <w:pPr>
        <w:pStyle w:val="Heading1"/>
        <w:spacing w:before="400"/>
      </w:pPr>
      <w:r>
        <w:t xml:space="preserve">SACHVERHALT</w:t>
      </w:r>
    </w:p>
    <w:p>
      <w:pPr>
        <w:spacing w:after="200"/>
        <w:ind w:firstLine="480"/>
        <w:jc w:val="both"/>
      </w:pPr>
      <w:r>
        <w:rPr>
          <w:sz w:val="24"/>
          <w:szCs w:val="24"/>
        </w:rPr>
        <w:t xml:space="preserve">Die Beschuldigten haben im Rahmen des Verfahrens AR 2428/26 die verfassungsrechtlich garantierte Beschwerdeführung des Anzeigenden durch administrative Willkür blockiert. Anstatt die Verfassungsbeschwerde gemäß den gesetzlichen Vorschriften (§§ 90 ff. BVerfGG) einem unabhängigen Richterkollegium (Kammer oder Senat) vorzulegen, haben die Beschuldigten in ihrer Eigenschaft als Regierungsangestellte eigenmächtig entschieden, eine richterliche Entscheidung 'abzusehen'.</w:t>
      </w:r>
    </w:p>
    <w:p>
      <w:pPr>
        <w:spacing w:after="200"/>
        <w:ind w:firstLine="480"/>
        <w:jc w:val="both"/>
      </w:pPr>
      <w:r>
        <w:rPr>
          <w:sz w:val="24"/>
          <w:szCs w:val="24"/>
        </w:rPr>
        <w:t xml:space="preserve">Dies erfolgt ausdrücklich durch das Schreiben des Bundesverfassungsgerichts vom 13.04.2026 (Az. AR 2428/26), in dem es heißt: 'Daher ist davon abgesehen worden, eine richterliche Entscheidung herbeizuführen.' Diese Formulierung belegt, dass die Entscheidung über die Zulässigkeit der Verfassungsbeschwerde nicht durch Richter, sondern durch Verwaltungsangestellte getroffen wurde.</w:t>
      </w:r>
    </w:p>
    <w:p>
      <w:pPr>
        <w:spacing w:after="400"/>
        <w:ind w:firstLine="480"/>
        <w:jc w:val="both"/>
      </w:pPr>
      <w:r>
        <w:rPr>
          <w:sz w:val="24"/>
          <w:szCs w:val="24"/>
        </w:rPr>
        <w:t xml:space="preserve">Hierdurch wurde die rechtsprechende Gewalt (Art. 92 GG) unrechtmäßig durch die Exekutive (Regierungsangestellte) ausgeübt. Dies stellt einen qualifizierten Verstoß gegen die Wahrheitspflicht und den gesetzlichen Richtervorbehalt dar. Die Beschuldigten handelten in bewusster Absicht, den Schutz vor operativen Maßnahmen (Eisenstaub/BND) zu vereiteln und den Anzeigenden von der Verfassungsgerichtsbarkeit fernzuhalten.</w:t>
      </w:r>
    </w:p>
    <w:p>
      <w:pPr>
        <w:pStyle w:val="Heading1"/>
        <w:spacing w:before="400"/>
      </w:pPr>
      <w:r>
        <w:t xml:space="preserve">RECHTLICHE WÜRDIGUNG</w:t>
      </w:r>
    </w:p>
    <w:p>
      <w:pPr>
        <w:pStyle w:val="Heading2"/>
        <w:spacing w:before="300"/>
      </w:pPr>
      <w:r>
        <w:t xml:space="preserve">I. Strafbarkeit nach § 339 StGB (Rechtsbeugung)</w:t>
      </w:r>
    </w:p>
    <w:p>
      <w:pPr>
        <w:spacing w:after="200"/>
        <w:ind w:firstLine="480"/>
        <w:jc w:val="both"/>
      </w:pPr>
      <w:r>
        <w:rPr>
          <w:sz w:val="24"/>
          <w:szCs w:val="24"/>
        </w:rPr>
        <w:t xml:space="preserve">§ 339 StGB stellt unter Strafe: 'Ein Richter, ein anderer Amtsträger oder ein Schiedsrichter, welcher sich bei der Leitung oder Entscheidung einer Rechtssache zugunsten oder zum Nachteil einer Partei einer Beugung des Rechts schuldig macht, wird mit Freiheitsstrafe von einem Jahr bis zu fünf Jahren bestraft.'</w:t>
      </w:r>
    </w:p>
    <w:p>
      <w:pPr>
        <w:spacing w:after="200"/>
        <w:ind w:firstLine="480"/>
        <w:jc w:val="both"/>
      </w:pPr>
      <w:r>
        <w:rPr>
          <w:sz w:val="24"/>
          <w:szCs w:val="24"/>
        </w:rPr>
        <w:t xml:space="preserve">Die Beschuldigten, als Amtsträger im Sinne des § 11 Abs. 1 Nr. 2 StGB, haben durch die willkürliche Ablehnung der Verfassungsbeschwerde ohne richterliche Prüfung das Recht gebeugt. Die Entscheidung, eine richterliche Entscheidung zu unterlassen, stellt eine Rechtsbeugung zum Nachteil des Anzeigenden dar, da sie ihm den verfassungsmäßig garantierten Rechtsweg versperrt.</w:t>
      </w:r>
    </w:p>
    <w:p>
      <w:pPr>
        <w:pStyle w:val="Heading2"/>
        <w:spacing w:before="300"/>
      </w:pPr>
      <w:r>
        <w:t xml:space="preserve">II. Verletzung des Art. 101 Abs. 1 S. 2 GG</w:t>
      </w:r>
    </w:p>
    <w:p>
      <w:pPr>
        <w:spacing w:after="200"/>
        <w:ind w:firstLine="480"/>
        <w:jc w:val="both"/>
      </w:pPr>
      <w:r>
        <w:rPr>
          <w:sz w:val="24"/>
          <w:szCs w:val="24"/>
        </w:rPr>
        <w:t xml:space="preserve">Das Grundrecht auf den gesetzlichen Richter garantiert, dass niemand einer außerordentlichen Gerichtsbarkeit entzogen werden darf. Die Verweisung der Verfassungsbeschwerde in das Allgemeine Register ohne richterliche Entscheidung entzieht den Anzeigenden der Zuständigkeit des verfassungsrechtlich bestimmten Richters (Bundesverfassungsgericht).</w:t>
      </w:r>
    </w:p>
    <w:p>
      <w:pPr>
        <w:pStyle w:val="Heading2"/>
        <w:spacing w:before="300"/>
      </w:pPr>
      <w:r>
        <w:t xml:space="preserve">III. Systematischer Charakter</w:t>
      </w:r>
    </w:p>
    <w:p>
      <w:pPr>
        <w:spacing w:after="400"/>
        <w:ind w:firstLine="480"/>
        <w:jc w:val="both"/>
      </w:pPr>
      <w:r>
        <w:rPr>
          <w:sz w:val="24"/>
          <w:szCs w:val="24"/>
        </w:rPr>
        <w:t xml:space="preserve">Die Handlungsweise der Beschuldigten ist nicht als Einzelfall zu bewerten, sondern als Teil eines systematischen Mechanismus zur Verhinderung verfassungsgerichtlicher Kontrolle von Geheimdienstaktivitäten. Das AR-Verfahren dient als strukturelle Barriere, um unbequeme Beschwerden ohne richterliche Prüfung zu neutralisieren.</w:t>
      </w:r>
    </w:p>
    <w:p>
      <w:pPr>
        <w:pStyle w:val="Heading1"/>
        <w:spacing w:before="400"/>
      </w:pPr>
      <w:r>
        <w:t xml:space="preserve">ANTRAG</w:t>
      </w:r>
    </w:p>
    <w:p>
      <w:pPr>
        <w:spacing w:after="200"/>
        <w:ind w:firstLine="480"/>
        <w:jc w:val="both"/>
      </w:pPr>
      <w:r>
        <w:rPr>
          <w:b/>
          <w:bCs/>
          <w:sz w:val="24"/>
          <w:szCs w:val="24"/>
        </w:rPr>
        <w:t xml:space="preserve">Es wird beantragt:</w:t>
      </w:r>
    </w:p>
    <w:p>
      <w:pPr>
        <w:spacing w:after="150"/>
        <w:ind w:left="480"/>
      </w:pPr>
      <w:r>
        <w:rPr>
          <w:sz w:val="24"/>
          <w:szCs w:val="24"/>
        </w:rPr>
        <w:t xml:space="preserve">1. Ermittlungsverfahren gegen die Beschuldigten wegen Rechtsbeugung (§ 339 StGB) einzuleiten.</w:t>
      </w:r>
    </w:p>
    <w:p>
      <w:pPr>
        <w:spacing w:after="150"/>
        <w:ind w:left="480"/>
      </w:pPr>
      <w:r>
        <w:rPr>
          <w:sz w:val="24"/>
          <w:szCs w:val="24"/>
        </w:rPr>
        <w:t xml:space="preserve">2. Die systematische Praxis des AR-Verfahrens auf ihre Verfassungsmäßigkeit zu prüfen.</w:t>
      </w:r>
    </w:p>
    <w:p>
      <w:pPr>
        <w:spacing w:after="150"/>
        <w:ind w:left="480"/>
      </w:pPr>
      <w:r>
        <w:rPr>
          <w:sz w:val="24"/>
          <w:szCs w:val="24"/>
        </w:rPr>
        <w:t xml:space="preserve">3. Die Dokumentation des Verfahrens AR 2428/26 als Beweismittel sicherzustellen.</w:t>
      </w:r>
    </w:p>
    <w:p>
      <w:pPr>
        <w:spacing w:after="400"/>
        <w:ind w:left="480"/>
      </w:pPr>
      <w:r>
        <w:rPr>
          <w:sz w:val="24"/>
          <w:szCs w:val="24"/>
        </w:rPr>
        <w:t xml:space="preserve">4. Die erneute Vorlage der Verfassungsbeschwerde an eine Kammer des Bundesverfassungsgerichts zu veranlassen.</w:t>
      </w:r>
    </w:p>
    <w:p>
      <w:pPr>
        <w:pStyle w:val="Heading1"/>
        <w:spacing w:before="400"/>
      </w:pPr>
      <w:r>
        <w:t xml:space="preserve">ANLAGEN</w:t>
      </w:r>
    </w:p>
    <w:p>
      <w:pPr>
        <w:spacing w:after="100"/>
        <w:ind w:left="480"/>
      </w:pPr>
      <w:r>
        <w:rPr>
          <w:sz w:val="24"/>
          <w:szCs w:val="24"/>
        </w:rPr>
        <w:t xml:space="preserve">Anlage 1: Originalschreiben des BVerfG vom 13.04.2026 (Az. AR 2428/26)</w:t>
      </w:r>
    </w:p>
    <w:p>
      <w:pPr>
        <w:spacing w:after="100"/>
        <w:ind w:left="480"/>
      </w:pPr>
      <w:r>
        <w:rPr>
          <w:sz w:val="24"/>
          <w:szCs w:val="24"/>
        </w:rPr>
        <w:t xml:space="preserve">Anlage 2: Verfassungsbeschwerde vom 03.04.2026</w:t>
      </w:r>
    </w:p>
    <w:p>
      <w:pPr>
        <w:spacing w:after="100"/>
        <w:ind w:left="480"/>
      </w:pPr>
      <w:r>
        <w:rPr>
          <w:sz w:val="24"/>
          <w:szCs w:val="24"/>
        </w:rPr>
        <w:t xml:space="preserve">Anlage 3: Dossier zum systemischen Versagen (vorliegendes Dokument)</w:t>
      </w:r>
    </w:p>
    <w:p>
      <w:pPr>
        <w:spacing w:after="400"/>
        <w:ind w:left="480"/>
      </w:pPr>
      <w:r>
        <w:rPr>
          <w:sz w:val="24"/>
          <w:szCs w:val="24"/>
        </w:rPr>
        <w:t xml:space="preserve">Anlage 4: ICC Communication nach Art. 15 Rom-Statut</w:t>
      </w:r>
    </w:p>
    <w:p>
      <w:pPr>
        <w:spacing w:before="600"/>
      </w:pPr>
      <w:r>
        <w:rPr>
          <w:sz w:val="24"/>
          <w:szCs w:val="24"/>
        </w:rPr>
        <w:t xml:space="preserve">Ort, Datum: Heilbronn, den _______________</w:t>
      </w:r>
    </w:p>
    <w:p>
      <w:pPr>
        <w:spacing w:before="400"/>
      </w:pPr>
      <w:r>
        <w:rPr>
          <w:sz w:val="24"/>
          <w:szCs w:val="24"/>
        </w:rPr>
        <w:t xml:space="preserve">____________________________________</w:t>
      </w:r>
    </w:p>
    <w:p>
      <w:pPr>
        <w:spacing w:after="200"/>
      </w:pPr>
      <w:r>
        <w:rPr>
          <w:sz w:val="24"/>
          <w:szCs w:val="24"/>
        </w:rPr>
        <w:t xml:space="preserve">Baron Marco Paolo Ialongo</w:t>
      </w:r>
    </w:p>
    <w:p>
      <w:r>
        <w:rPr>
          <w:i/>
          <w:iCs/>
          <w:sz w:val="24"/>
          <w:szCs w:val="24"/>
        </w:rPr>
        <w:t xml:space="preserve">(Anzeigender)</w:t>
      </w:r>
    </w:p>
    <w:sectPr>
      <w:footerReference w:type="default" r:id="rId7"/>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Strafanzeige nach § 339 StGB | Seite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eastAsia="SimHei"/>
      <w:b/>
      <w:bCs/>
      <w:color w:val="000000"/>
      <w:sz w:val="32"/>
      <w:szCs w:val="32"/>
    </w:rPr>
  </w:style>
  <w:style w:type="paragraph" w:styleId="Heading2">
    <w:name w:val="Heading 2"/>
    <w:basedOn w:val="Normal"/>
    <w:next w:val="Normal"/>
    <w:qFormat/>
    <w:rPr>
      <w:rFonts w:ascii="Times New Roman" w:eastAsia="SimHei"/>
      <w:b/>
      <w:bCs/>
      <w:color w:val="000000"/>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2026-04-17T08:11:11.569Z</dcterms:created>
  <dcterms:modified xsi:type="dcterms:W3CDTF">2026-04-17T08:11:11.569Z</dcterms:modified>
</cp:coreProperties>
</file>

<file path=docProps/custom.xml><?xml version="1.0" encoding="utf-8"?>
<Properties xmlns="http://schemas.openxmlformats.org/officeDocument/2006/custom-properties" xmlns:vt="http://schemas.openxmlformats.org/officeDocument/2006/docPropsVTypes"/>
</file>