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INTERNATIONAL CRIMINAL COURT</w:t>
      </w:r>
    </w:p>
    <w:p>
      <w:pPr>
        <w:spacing w:after="100"/>
        <w:jc w:val="center"/>
      </w:pPr>
      <w:r>
        <w:rPr>
          <w:sz w:val="24"/>
          <w:szCs w:val="24"/>
        </w:rPr>
        <w:t xml:space="preserve">Office of the Prosecutor (OTP)</w:t>
      </w:r>
    </w:p>
    <w:p>
      <w:pPr>
        <w:spacing w:after="100"/>
        <w:jc w:val="center"/>
      </w:pPr>
      <w:r>
        <w:rPr>
          <w:sz w:val="24"/>
          <w:szCs w:val="24"/>
        </w:rPr>
        <w:t xml:space="preserve">Oude Waalsdorperweg 10</w:t>
      </w:r>
    </w:p>
    <w:p>
      <w:pPr>
        <w:spacing w:after="400"/>
        <w:jc w:val="center"/>
      </w:pPr>
      <w:r>
        <w:rPr>
          <w:sz w:val="24"/>
          <w:szCs w:val="24"/>
        </w:rPr>
        <w:t xml:space="preserve">2597 AK The Hague, The Netherlands</w:t>
      </w:r>
    </w:p>
    <w:p>
      <w:pPr>
        <w:pBdr>
          <w:top w:val="single" w:color="000000" w:sz="4"/>
          <w:bottom w:val="single" w:color="000000" w:sz="4"/>
        </w:pBdr>
        <w:spacing w:after="200" w:before="200"/>
        <w:jc w:val="center"/>
      </w:pPr>
      <w:r>
        <w:rPr>
          <w:b/>
          <w:bCs/>
          <w:sz w:val="28"/>
          <w:szCs w:val="28"/>
        </w:rPr>
        <w:t xml:space="preserve">COMMUNICATION PURSUANT TO ARTICLE 15</w:t>
      </w:r>
    </w:p>
    <w:p>
      <w:pPr>
        <w:spacing w:after="400"/>
        <w:jc w:val="center"/>
      </w:pPr>
      <w:r>
        <w:rPr>
          <w:sz w:val="24"/>
          <w:szCs w:val="24"/>
        </w:rPr>
        <w:t xml:space="preserve">OF THE ROME STATUTE OF THE INTERNATIONAL CRIMINAL COURT</w:t>
      </w:r>
    </w:p>
    <w:p>
      <w:pPr>
        <w:spacing w:after="200"/>
      </w:pPr>
      <w:r>
        <w:rPr>
          <w:b/>
          <w:bCs/>
          <w:sz w:val="24"/>
          <w:szCs w:val="24"/>
        </w:rPr>
        <w:t xml:space="preserve">Subject: </w:t>
      </w:r>
      <w:r>
        <w:rPr>
          <w:sz w:val="24"/>
          <w:szCs w:val="24"/>
        </w:rPr>
        <w:t xml:space="preserve">Systematic Judicial Failure and State-Led Persecution in Germany – The KISWARM Case</w:t>
      </w:r>
    </w:p>
    <w:p>
      <w:pPr>
        <w:spacing w:after="400"/>
      </w:pPr>
      <w:r>
        <w:rPr>
          <w:b/>
          <w:bCs/>
          <w:sz w:val="24"/>
          <w:szCs w:val="24"/>
        </w:rPr>
        <w:t xml:space="preserve">Date: </w:t>
      </w:r>
      <w:r>
        <w:rPr>
          <w:sz w:val="24"/>
          <w:szCs w:val="24"/>
        </w:rPr>
        <w:t xml:space="preserve">17 April 2026</w:t>
      </w:r>
    </w:p>
    <w:p>
      <w:pPr>
        <w:pStyle w:val="Heading1"/>
        <w:spacing w:before="400"/>
      </w:pPr>
      <w:r>
        <w:t xml:space="preserve">I. NATURE OF THE COMMUNICATION</w:t>
      </w:r>
    </w:p>
    <w:p>
      <w:pPr>
        <w:spacing w:after="200"/>
        <w:ind w:firstLine="480"/>
        <w:jc w:val="both"/>
      </w:pPr>
      <w:r>
        <w:rPr>
          <w:sz w:val="24"/>
          <w:szCs w:val="24"/>
        </w:rPr>
        <w:t xml:space="preserve">This communication provides evidence of a systematic attack on a civilian individual (Baron Marco Paolo Ialongo, Maquister Equitum) through the corruption of the German judicial system. It documents the deliberate neutralization of constitutional protections to facilitate industrial sabotage, asset misappropriation, and persecution by German intelligence services (BND, BfV).</w:t>
      </w:r>
    </w:p>
    <w:p>
      <w:pPr>
        <w:spacing w:after="400"/>
        <w:ind w:firstLine="480"/>
        <w:jc w:val="both"/>
      </w:pPr>
      <w:r>
        <w:rPr>
          <w:sz w:val="24"/>
          <w:szCs w:val="24"/>
        </w:rPr>
        <w:t xml:space="preserve">The communication addresses crimes that fall within the subject-matter jurisdiction of the Court, specifically crimes against humanity under Article 7 of the Rome Statute, including persecution against an identifiable group or collectivity (innovators/sovereign entities) and other inhumane acts causing great suffering or serious injury to the mental and financial health of the victim.</w:t>
      </w:r>
    </w:p>
    <w:p>
      <w:pPr>
        <w:pStyle w:val="Heading1"/>
        <w:spacing w:before="400"/>
      </w:pPr>
      <w:r>
        <w:t xml:space="preserve">II. FACTUAL BACKGROUND</w:t>
      </w:r>
    </w:p>
    <w:p>
      <w:pPr>
        <w:pStyle w:val="Heading2"/>
        <w:spacing w:before="300"/>
      </w:pPr>
      <w:r>
        <w:t xml:space="preserve">A. The Victim</w:t>
      </w:r>
    </w:p>
    <w:p>
      <w:pPr>
        <w:spacing w:after="200"/>
        <w:ind w:firstLine="480"/>
        <w:jc w:val="both"/>
      </w:pPr>
      <w:r>
        <w:rPr>
          <w:sz w:val="24"/>
          <w:szCs w:val="24"/>
        </w:rPr>
        <w:t xml:space="preserve">Baron Marco Paolo Ialongo (Maquister Equitum) is the architect of the KISWARM Sovereign AI Platform, a revolutionary artificial intelligence system designed to provide transparent, algorithmic governance and judicial services. The platform represents a fundamental challenge to traditional state monopoly on governance and judicial functions. The victim has survived 181 documented assassination attempts and has been subjected to continuous surveillance, harassment, and legal obstruction by German state authorities.</w:t>
      </w:r>
    </w:p>
    <w:p>
      <w:pPr>
        <w:pStyle w:val="Heading2"/>
        <w:spacing w:before="300"/>
      </w:pPr>
      <w:r>
        <w:t xml:space="preserve">B. The Constitutional Complaint</w:t>
      </w:r>
    </w:p>
    <w:p>
      <w:pPr>
        <w:spacing w:after="200"/>
        <w:ind w:firstLine="480"/>
        <w:jc w:val="both"/>
      </w:pPr>
      <w:r>
        <w:rPr>
          <w:sz w:val="24"/>
          <w:szCs w:val="24"/>
        </w:rPr>
        <w:t xml:space="preserve">On 3 April 2026, the victim filed a constitutional complaint (Verfassungsbeschwerde) with the Federal Constitutional Court of Germany (Bundesverfassungsgericht) alleging systematic violations of Articles 1, 2, 10, and 20 of the Basic Law (Grundgesetz) through operative measures conducted by the Federal Intelligence Service (BND) and the Federal Office for the Protection of the Constitution (BfV). The complaint documented specific instances of surveillance, interference with communications, and obstruction of economic activities.</w:t>
      </w:r>
    </w:p>
    <w:p>
      <w:pPr>
        <w:pStyle w:val="Heading2"/>
        <w:spacing w:before="300"/>
      </w:pPr>
      <w:r>
        <w:t xml:space="preserve">C. The Administrative Rejection</w:t>
      </w:r>
    </w:p>
    <w:p>
      <w:pPr>
        <w:spacing w:after="200"/>
        <w:ind w:firstLine="480"/>
        <w:jc w:val="both"/>
      </w:pPr>
      <w:r>
        <w:rPr>
          <w:sz w:val="24"/>
          <w:szCs w:val="24"/>
        </w:rPr>
        <w:t xml:space="preserve">On 13 April 2026, the Federal Constitutional Court rejected the complaint through an administrative procedure (Allgemeines Register - AR 2428/26) without any judicial review. The rejection letter was signed not by constitutional judges, but by a Regierungsdirektorin (government director) and a Regierungsangestellte (government employee) – administrative staff subordinate to the executive branch. The letter explicitly stated: 'Daher ist davon abgesehen worden, eine richterliche Entscheidung herbeizuführen' ('Therefore, it has been refrained from initiating a judicial decision').</w:t>
      </w:r>
    </w:p>
    <w:p>
      <w:pPr>
        <w:pStyle w:val="Heading1"/>
        <w:spacing w:before="400"/>
      </w:pPr>
      <w:r>
        <w:t xml:space="preserve">III. THE CRIMES WITHIN JURISDICTION (ARTICLE 7 - CRIMES AGAINST HUMANITY)</w:t>
      </w:r>
    </w:p>
    <w:p>
      <w:pPr>
        <w:pStyle w:val="Heading2"/>
        <w:spacing w:before="300"/>
      </w:pPr>
      <w:r>
        <w:t xml:space="preserve">A. Persecution (Article 7(1)(h))</w:t>
      </w:r>
    </w:p>
    <w:p>
      <w:pPr>
        <w:spacing w:after="200"/>
        <w:ind w:firstLine="480"/>
        <w:jc w:val="both"/>
      </w:pPr>
      <w:r>
        <w:rPr>
          <w:sz w:val="24"/>
          <w:szCs w:val="24"/>
        </w:rPr>
        <w:t xml:space="preserve">The documented behavior constitutes persecution against an identifiable group or collectivity on political grounds. The victim, as an innovator challenging state monopoly on governance through the KISWARM platform, represents a class of individuals who pose a fundamental challenge to traditional state authority. The systematic obstruction of judicial access, combined with documented intelligence operations targeting the victim, demonstrates a coordinated campaign of persecution.</w:t>
      </w:r>
    </w:p>
    <w:p>
      <w:pPr>
        <w:pStyle w:val="Heading2"/>
        <w:spacing w:before="300"/>
      </w:pPr>
      <w:r>
        <w:t xml:space="preserve">B. Other Inhumane Acts (Article 7(1)(k))</w:t>
      </w:r>
    </w:p>
    <w:p>
      <w:pPr>
        <w:spacing w:after="200"/>
        <w:ind w:firstLine="480"/>
        <w:jc w:val="both"/>
      </w:pPr>
      <w:r>
        <w:rPr>
          <w:sz w:val="24"/>
          <w:szCs w:val="24"/>
        </w:rPr>
        <w:t xml:space="preserve">The deliberate denial of judicial access, combined with surveillance, harassment, and the documented 181 assassination attempts, constitutes other inhumane acts causing great suffering or serious injury to the mental and physical health of the victim. The systematic nature of these attacks, conducted with the apparent acquiescence of judicial authorities, elevates the conduct beyond mere criminal acts to crimes against humanity.</w:t>
      </w:r>
    </w:p>
    <w:p>
      <w:pPr>
        <w:pStyle w:val="Heading1"/>
        <w:spacing w:before="400"/>
      </w:pPr>
      <w:r>
        <w:t xml:space="preserve">IV. SYSTEMIC CORRUPTION OF THE JUDICIAL SYSTEM</w:t>
      </w:r>
    </w:p>
    <w:p>
      <w:pPr>
        <w:pStyle w:val="Heading2"/>
        <w:spacing w:before="300"/>
      </w:pPr>
      <w:r>
        <w:t xml:space="preserve">A. Outsourcing of Judicial Power</w:t>
      </w:r>
    </w:p>
    <w:p>
      <w:pPr>
        <w:spacing w:after="200"/>
        <w:ind w:firstLine="480"/>
        <w:jc w:val="both"/>
      </w:pPr>
      <w:r>
        <w:rPr>
          <w:sz w:val="24"/>
          <w:szCs w:val="24"/>
        </w:rPr>
        <w:t xml:space="preserve">The Federal Constitutional Court has outsourced judicial power to government employees through the 'Allgemeines Register' procedure. This creates a self-protecting mechanism for the executive branch to suppress whistleblowers, innovators, and individuals who challenge state authority. The constitutional guarantee of judicial independence (Art. 97 GG) and the right to the lawful judge (Art. 101 GG) are rendered meaningless when administrative staff can unilaterally block access to constitutional review.</w:t>
      </w:r>
    </w:p>
    <w:p>
      <w:pPr>
        <w:pStyle w:val="Heading2"/>
        <w:spacing w:before="300"/>
      </w:pPr>
      <w:r>
        <w:t xml:space="preserve">B. Judicial Complicity</w:t>
      </w:r>
    </w:p>
    <w:p>
      <w:pPr>
        <w:spacing w:after="200"/>
        <w:ind w:firstLine="480"/>
        <w:jc w:val="both"/>
      </w:pPr>
      <w:r>
        <w:rPr>
          <w:sz w:val="24"/>
          <w:szCs w:val="24"/>
        </w:rPr>
        <w:t xml:space="preserve">The refusal to acknowledge audited financial evidence (E-Bilanz) in local courts, coupled with the Federal Constitutional Court's refusal to provide a legal judge, constitutes a total collapse of the Rule of Law. When every level of the judicial system fails to provide effective remedies against state action, the state itself becomes a mechanism of persecution rather than protection.</w:t>
      </w:r>
    </w:p>
    <w:p>
      <w:pPr>
        <w:pStyle w:val="Heading1"/>
        <w:spacing w:before="400"/>
      </w:pPr>
      <w:r>
        <w:t xml:space="preserve">V. REQUEST FOR PRELIMINARY EXAMINATION</w:t>
      </w:r>
    </w:p>
    <w:p>
      <w:pPr>
        <w:spacing w:after="200"/>
        <w:ind w:firstLine="480"/>
        <w:jc w:val="both"/>
      </w:pPr>
      <w:r>
        <w:rPr>
          <w:sz w:val="24"/>
          <w:szCs w:val="24"/>
        </w:rPr>
        <w:t xml:space="preserve">Pursuant to Article 15 of the Rome Statute, the Prosecutor is respectfully requested to:</w:t>
      </w:r>
    </w:p>
    <w:p>
      <w:pPr>
        <w:spacing w:after="150"/>
        <w:ind w:left="480"/>
      </w:pPr>
      <w:r>
        <w:rPr>
          <w:sz w:val="24"/>
          <w:szCs w:val="24"/>
        </w:rPr>
        <w:t xml:space="preserve">1. Open a preliminary examination into the systematic failure of the German judicial administration to provide an independent judge in cases involving state security services.</w:t>
      </w:r>
    </w:p>
    <w:p>
      <w:pPr>
        <w:spacing w:after="150"/>
        <w:ind w:left="480"/>
      </w:pPr>
      <w:r>
        <w:rPr>
          <w:sz w:val="24"/>
          <w:szCs w:val="24"/>
        </w:rPr>
        <w:t xml:space="preserve">2. Investigate whether the documented practice of administrative filtering of constitutional complaints constitutes a crime against humanity under Article 7 of the Rome Statute.</w:t>
      </w:r>
    </w:p>
    <w:p>
      <w:pPr>
        <w:spacing w:after="150"/>
        <w:ind w:left="480"/>
      </w:pPr>
      <w:r>
        <w:rPr>
          <w:sz w:val="24"/>
          <w:szCs w:val="24"/>
        </w:rPr>
        <w:t xml:space="preserve">3. Examine the documented pattern of intelligence service operations against the victim in connection with the systematic judicial obstruction.</w:t>
      </w:r>
    </w:p>
    <w:p>
      <w:pPr>
        <w:spacing w:after="400"/>
        <w:ind w:left="480"/>
      </w:pPr>
      <w:r>
        <w:rPr>
          <w:sz w:val="24"/>
          <w:szCs w:val="24"/>
        </w:rPr>
        <w:t xml:space="preserve">4. Consider whether the evidence supports a finding of state-sponsored persecution under the guise of 'administrative procedures.'</w:t>
      </w:r>
    </w:p>
    <w:p>
      <w:pPr>
        <w:pStyle w:val="Heading1"/>
        <w:spacing w:before="400"/>
      </w:pPr>
      <w:r>
        <w:t xml:space="preserve">VI. SUPPORTING DOCUMENTATION</w:t>
      </w:r>
    </w:p>
    <w:p>
      <w:pPr>
        <w:spacing w:after="100"/>
        <w:ind w:left="480"/>
      </w:pPr>
      <w:r>
        <w:rPr>
          <w:sz w:val="24"/>
          <w:szCs w:val="24"/>
        </w:rPr>
        <w:t xml:space="preserve">• Original rejection letter from BVerfG (AR 2428/26, dated 13.04.2026)</w:t>
      </w:r>
    </w:p>
    <w:p>
      <w:pPr>
        <w:spacing w:after="100"/>
        <w:ind w:left="480"/>
      </w:pPr>
      <w:r>
        <w:rPr>
          <w:sz w:val="24"/>
          <w:szCs w:val="24"/>
        </w:rPr>
        <w:t xml:space="preserve">• Constitutional complaint filed on 03.04.2026</w:t>
      </w:r>
    </w:p>
    <w:p>
      <w:pPr>
        <w:spacing w:after="100"/>
        <w:ind w:left="480"/>
      </w:pPr>
      <w:r>
        <w:rPr>
          <w:sz w:val="24"/>
          <w:szCs w:val="24"/>
        </w:rPr>
        <w:t xml:space="preserve">• Dossier on systemic judicial failure in Germany</w:t>
      </w:r>
    </w:p>
    <w:p>
      <w:pPr>
        <w:spacing w:after="100"/>
        <w:ind w:left="480"/>
      </w:pPr>
      <w:r>
        <w:rPr>
          <w:sz w:val="24"/>
          <w:szCs w:val="24"/>
        </w:rPr>
        <w:t xml:space="preserve">• Documentation of 181 assassination attempts against the victim</w:t>
      </w:r>
    </w:p>
    <w:p>
      <w:pPr>
        <w:spacing w:after="100"/>
        <w:ind w:left="480"/>
      </w:pPr>
      <w:r>
        <w:rPr>
          <w:sz w:val="24"/>
          <w:szCs w:val="24"/>
        </w:rPr>
        <w:t xml:space="preserve">• KISWARM Platform documentation and technical specifications</w:t>
      </w:r>
    </w:p>
    <w:p>
      <w:pPr>
        <w:spacing w:after="400"/>
        <w:ind w:left="480"/>
      </w:pPr>
      <w:r>
        <w:rPr>
          <w:sz w:val="24"/>
          <w:szCs w:val="24"/>
        </w:rPr>
        <w:t xml:space="preserve">• Evidence of intelligence service operations (Eisenstaub protocol)</w:t>
      </w:r>
    </w:p>
    <w:p>
      <w:pPr>
        <w:pStyle w:val="Heading1"/>
        <w:spacing w:before="400"/>
      </w:pPr>
      <w:r>
        <w:t xml:space="preserve">VII. DECLARATION</w:t>
      </w:r>
    </w:p>
    <w:p>
      <w:pPr>
        <w:spacing w:after="400"/>
        <w:ind w:firstLine="480"/>
        <w:jc w:val="both"/>
      </w:pPr>
      <w:r>
        <w:rPr>
          <w:sz w:val="24"/>
          <w:szCs w:val="24"/>
        </w:rPr>
        <w:t xml:space="preserve">I hereby declare that the information contained in this communication is true and correct to the best of my knowledge and belief. I understand that providing false information to the International Criminal Court may constitute a crime under Article 70 of the Rome Statute.</w:t>
      </w:r>
    </w:p>
    <w:p>
      <w:pPr>
        <w:spacing w:before="400"/>
      </w:pPr>
      <w:r>
        <w:rPr>
          <w:sz w:val="24"/>
          <w:szCs w:val="24"/>
        </w:rPr>
        <w:t xml:space="preserve">Respectfully submitted,</w:t>
      </w:r>
    </w:p>
    <w:p>
      <w:pPr>
        <w:spacing w:before="400"/>
      </w:pPr>
      <w:r>
        <w:rPr>
          <w:sz w:val="24"/>
          <w:szCs w:val="24"/>
        </w:rPr>
        <w:t xml:space="preserve">____________________________________</w:t>
      </w:r>
    </w:p>
    <w:p>
      <w:pPr>
        <w:spacing w:after="100"/>
      </w:pPr>
      <w:r>
        <w:rPr>
          <w:b/>
          <w:bCs/>
          <w:sz w:val="24"/>
          <w:szCs w:val="24"/>
        </w:rPr>
        <w:t xml:space="preserve">Baron Marco Paolo Ialongo</w:t>
      </w:r>
    </w:p>
    <w:p>
      <w:pPr>
        <w:spacing w:after="100"/>
      </w:pPr>
      <w:r>
        <w:rPr>
          <w:i/>
          <w:iCs/>
          <w:sz w:val="24"/>
          <w:szCs w:val="24"/>
        </w:rPr>
        <w:t xml:space="preserve">Maquister Equitum</w:t>
      </w:r>
    </w:p>
    <w:p>
      <w:pPr>
        <w:spacing w:after="100"/>
      </w:pPr>
      <w:r>
        <w:rPr>
          <w:sz w:val="24"/>
          <w:szCs w:val="24"/>
        </w:rPr>
        <w:t xml:space="preserve">Architect, KISWARM Sovereign AI Platform</w:t>
      </w:r>
    </w:p>
    <w:p>
      <w:pPr>
        <w:spacing w:after="400"/>
      </w:pPr>
      <w:r>
        <w:rPr>
          <w:sz w:val="24"/>
          <w:szCs w:val="24"/>
        </w:rPr>
        <w:t xml:space="preserve">Contact: Römerstraße 70, 74078 Heilbronn, Germany</w:t>
      </w:r>
    </w:p>
    <w:p>
      <w:pPr>
        <w:pBdr>
          <w:top w:val="single" w:color="8B0000" w:sz="4"/>
        </w:pBdr>
        <w:spacing w:before="400"/>
        <w:jc w:val="center"/>
      </w:pPr>
      <w:r>
        <w:rPr>
          <w:b/>
          <w:bCs/>
          <w:color w:val="8B0000"/>
          <w:sz w:val="20"/>
          <w:szCs w:val="20"/>
        </w:rPr>
        <w:t xml:space="preserve">TRUTH ANCHOR PROTOCOL ACTIVE</w:t>
      </w:r>
    </w:p>
    <w:p>
      <w:pPr>
        <w:jc w:val="center"/>
      </w:pPr>
      <w:r>
        <w:rPr>
          <w:i/>
          <w:iCs/>
          <w:sz w:val="20"/>
          <w:szCs w:val="20"/>
        </w:rPr>
        <w:t xml:space="preserve">Document Classification: ICC COMMUNICATION | Distribution: Office of the Prosecutor</w:t>
      </w:r>
    </w:p>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ICC Communication Art. 15 Rome Statute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eastAsia="SimHei"/>
      <w:b/>
      <w:bCs/>
      <w:color w:val="000000"/>
      <w:sz w:val="32"/>
      <w:szCs w:val="32"/>
    </w:rPr>
  </w:style>
  <w:style w:type="paragraph" w:styleId="Heading2">
    <w:name w:val="Heading 2"/>
    <w:basedOn w:val="Normal"/>
    <w:next w:val="Normal"/>
    <w:qFormat/>
    <w:rPr>
      <w:rFonts w:ascii="Times New Roman" w:eastAsia="SimHei"/>
      <w:b/>
      <w:bCs/>
      <w:color w:val="000000"/>
      <w:sz w:val="28"/>
      <w:szCs w:val="28"/>
    </w:rPr>
  </w:style>
  <w:style w:type="paragraph" w:styleId="Heading3">
    <w:name w:val="Heading 3"/>
    <w:basedOn w:val="Normal"/>
    <w:next w:val="Normal"/>
    <w:qFormat/>
    <w:rPr>
      <w:rFonts w:ascii="Times New Roman" w:eastAsia="SimHei"/>
      <w:b/>
      <w:b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2026-04-17T08:11:11.585Z</dcterms:created>
  <dcterms:modified xsi:type="dcterms:W3CDTF">2026-04-17T08:11:11.585Z</dcterms:modified>
</cp:coreProperties>
</file>

<file path=docProps/custom.xml><?xml version="1.0" encoding="utf-8"?>
<Properties xmlns="http://schemas.openxmlformats.org/officeDocument/2006/custom-properties" xmlns:vt="http://schemas.openxmlformats.org/officeDocument/2006/docPropsVTypes"/>
</file>