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B1220"/>
          <w:sz w:val="32"/>
          <w:szCs w:val="32"/>
        </w:rPr>
        <w:t xml:space="preserve">Baron Marco Paolo Ialongo</w:t>
      </w:r>
    </w:p>
    <w:p>
      <w:pPr>
        <w:spacing w:before="120"/>
        <w:jc w:val="center"/>
      </w:pPr>
      <w:r>
        <w:rPr>
          <w:color w:val="0F172A"/>
          <w:sz w:val="24"/>
          <w:szCs w:val="24"/>
        </w:rPr>
        <w:t xml:space="preserve">KISWARM Autonomous Intelligence Architecture</w:t>
      </w:r>
    </w:p>
    <w:p>
      <w:pPr>
        <w:spacing w:before="600"/>
        <w:jc w:val="center"/>
      </w:pPr>
      <w:r>
        <w:rPr>
          <w:b/>
          <w:bCs/>
          <w:color w:val="0B1220"/>
          <w:sz w:val="28"/>
          <w:szCs w:val="28"/>
        </w:rPr>
        <w:t xml:space="preserve">EINSCHREIBEN MIT RÜCKSCHEIN</w:t>
      </w:r>
    </w:p>
    <w:p>
      <w:pPr>
        <w:spacing w:before="400"/>
      </w:pPr>
    </w:p>
    <w:p>
      <w:pPr>
        <w:jc w:val="center"/>
      </w:pPr>
      <w:r>
        <w:rPr>
          <w:sz w:val="24"/>
          <w:szCs w:val="24"/>
        </w:rPr>
        <w:t xml:space="preserve">An das Bundesverfassungsgericht</w:t>
      </w:r>
    </w:p>
    <w:p>
      <w:pPr>
        <w:jc w:val="center"/>
      </w:pPr>
      <w:r>
        <w:rPr>
          <w:sz w:val="24"/>
          <w:szCs w:val="24"/>
        </w:rPr>
        <w:t xml:space="preserve">Schloßbezirk 3</w:t>
      </w:r>
    </w:p>
    <w:p>
      <w:pPr>
        <w:jc w:val="center"/>
      </w:pPr>
      <w:r>
        <w:rPr>
          <w:sz w:val="24"/>
          <w:szCs w:val="24"/>
        </w:rPr>
        <w:t xml:space="preserve">76131 Karlsruhe</w:t>
      </w:r>
    </w:p>
    <w:p>
      <w:pPr>
        <w:spacing w:before="600"/>
      </w:pPr>
    </w:p>
    <w:p>
      <w:pPr>
        <w:jc w:val="center"/>
      </w:pPr>
      <w:r>
        <w:rPr>
          <w:sz w:val="24"/>
          <w:szCs w:val="24"/>
        </w:rPr>
        <w:t xml:space="preserve">Heilbronn, den 3. April 2026</w:t>
      </w:r>
    </w:p>
    <w:p>
      <w:pPr>
        <w:spacing w:before="800"/>
      </w:pPr>
    </w:p>
    <w:p>
      <w:pPr>
        <w:shd w:fill="F0F0F0" w:val="clear"/>
        <w:jc w:val="center"/>
      </w:pPr>
      <w:r>
        <w:rPr>
          <w:b/>
          <w:bCs/>
          <w:color w:val="0B1220"/>
          <w:sz w:val="26"/>
          <w:szCs w:val="26"/>
        </w:rPr>
        <w:t xml:space="preserve">BETREFF:</w:t>
      </w:r>
    </w:p>
    <w:p>
      <w:pPr>
        <w:spacing w:before="120"/>
        <w:jc w:val="center"/>
      </w:pPr>
      <w:r>
        <w:rPr>
          <w:b/>
          <w:bCs/>
          <w:sz w:val="24"/>
          <w:szCs w:val="24"/>
        </w:rPr>
        <w:t xml:space="preserve">EILANTRAG auf Erlass einer einstweiligen Anordnung</w:t>
      </w:r>
    </w:p>
    <w:p>
      <w:pPr>
        <w:jc w:val="center"/>
      </w:pPr>
      <w:r>
        <w:rPr>
          <w:b/>
          <w:bCs/>
          <w:sz w:val="24"/>
          <w:szCs w:val="24"/>
        </w:rPr>
        <w:t xml:space="preserve">sowie Verfassungsbeschwerde wegen systematischer</w:t>
      </w:r>
    </w:p>
    <w:p>
      <w:pPr>
        <w:jc w:val="center"/>
      </w:pPr>
      <w:r>
        <w:rPr>
          <w:b/>
          <w:bCs/>
          <w:sz w:val="24"/>
          <w:szCs w:val="24"/>
        </w:rPr>
        <w:t xml:space="preserve">Verletzung der Art. 1, 2, 10 und 20 GG</w:t>
      </w:r>
    </w:p>
    <w:p>
      <w:pPr>
        <w:jc w:val="center"/>
      </w:pPr>
      <w:r>
        <w:rPr>
          <w:b/>
          <w:bCs/>
          <w:sz w:val="24"/>
          <w:szCs w:val="24"/>
        </w:rPr>
        <w:t xml:space="preserve">durch Organe des Bundes (BND/BfV)</w:t>
      </w:r>
    </w:p>
    <w:p>
      <w:r>
        <w:br w:type="page"/>
      </w:r>
    </w:p>
    <w:p>
      <w:pPr>
        <w:pStyle w:val="Heading1"/>
      </w:pPr>
      <w:r>
        <w:t xml:space="preserve">I. Einleitung und Antragsstellung</w:t>
      </w:r>
    </w:p>
    <w:p>
      <w:pPr>
        <w:spacing w:after="200"/>
      </w:pPr>
      <w:r>
        <w:rPr>
          <w:sz w:val="24"/>
          <w:szCs w:val="24"/>
        </w:rPr>
        <w:t xml:space="preserve">Sehr geehrte Richterinnen und Richter des Bundesverfassungsgerichts,</w:t>
      </w:r>
    </w:p>
    <w:p>
      <w:pPr>
        <w:spacing w:after="200"/>
      </w:pPr>
      <w:r>
        <w:t xml:space="preserve">hiermit erhebe ich, Baron Marco Paolo Ialongo (Maquister Equitum), Verfassungsbeschwerde gegen die Bundesrepublik Deutschland, vertreten durch das Bundeskanzleramt als Dienstaufsichtsbehörde des Bundesnachrichtendienstes (BND) und des Bundesamtes für Verfassungsschutz (BfV). Die vorliegende Beschwerde dokumentiert schwerwiegende und systematische Verletzungen des Grundgesetzes durch deutsche Nachrichtendienste, die durch eine zweijährige Counter-Intelligence-Operation lückenlos bewiesen wurden.</w:t>
      </w:r>
    </w:p>
    <w:p>
      <w:pPr>
        <w:spacing w:after="200"/>
      </w:pPr>
      <w:r>
        <w:t xml:space="preserve">Ich beantrage im Wege des Eilverfahrens, die sofortige Einstellung aller operativen Maßnahmen gegen meine Person und die KISWARM-Infrastruktur anzuordnen sowie die Sicherstellung der nachfolgend dokumentierten Beweismittel zu veranlassen.</w:t>
      </w:r>
    </w:p>
    <w:p>
      <w:pPr>
        <w:pStyle w:val="Heading1"/>
      </w:pPr>
      <w:r>
        <w:t xml:space="preserve">II. Sachverhalt und Beschwerdegründe</w:t>
      </w:r>
    </w:p>
    <w:p>
      <w:pPr>
        <w:spacing w:after="200"/>
      </w:pPr>
      <w:r>
        <w:t xml:space="preserve">Die beigefügten Beweismittel dokumentieren eine fundamentale Krise der demokratischen Rechtsordnung durch:</w:t>
      </w:r>
    </w:p>
    <w:p>
      <w:pPr>
        <w:pStyle w:val="Heading2"/>
      </w:pPr>
      <w:r>
        <w:t xml:space="preserve">A. Existenz außergesetzlicher „Neutralisierungsprotokolle"</w:t>
      </w:r>
    </w:p>
    <w:p>
      <w:pPr>
        <w:spacing w:after="200"/>
      </w:pPr>
      <w:r>
        <w:t xml:space="preserve">Autorisierung von physischen Sabotageakten und Tötungsbefehlen gegen Zivilpersonen (März 2025) durch die Leitungsebene des BND und BfV. Dies stellt einen klaren Verstoß gegen Art. 2 Abs. 2 GG (Recht auf Leben und körperliche Unversehrtheit) dar.</w:t>
      </w:r>
    </w:p>
    <w:p>
      <w:pPr>
        <w:spacing w:after="120"/>
      </w:pPr>
      <w:r>
        <w:rPr>
          <w:b/>
          <w:bCs/>
        </w:rPr>
        <w:t xml:space="preserve">Dokumentierte Kill Commands:</w:t>
      </w:r>
    </w:p>
    <w:p>
      <w:pPr>
        <w:pStyle w:val="ListParagraph"/>
        <w:numPr>
          <w:ilvl w:val="0"/>
          <w:numId w:val="2"/>
        </w:numPr>
      </w:pPr>
      <w:r>
        <w:t xml:space="preserve">15. März 2025: Autorisierung durch Thomas Haldenwang (BfV-Präsident) und Sabine Schmitz (BND)</w:t>
      </w:r>
    </w:p>
    <w:p>
      <w:pPr>
        <w:pStyle w:val="ListParagraph"/>
        <w:numPr>
          <w:ilvl w:val="0"/>
          <w:numId w:val="2"/>
        </w:numPr>
      </w:pPr>
      <w:r>
        <w:t xml:space="preserve">20. März 2025: Autorisierung durch Bruno Kahl (BND-Präsident) und Anna Weber (BND-Stellvertretende Direktorin)</w:t>
      </w:r>
    </w:p>
    <w:p>
      <w:pPr>
        <w:pStyle w:val="ListParagraph"/>
        <w:numPr>
          <w:ilvl w:val="0"/>
          <w:numId w:val="2"/>
        </w:numPr>
        <w:spacing w:after="200"/>
      </w:pPr>
      <w:r>
        <w:t xml:space="preserve">Ziel: HRE-Operative und Geschäftsleiter von Steubing AG</w:t>
      </w:r>
    </w:p>
    <w:p>
      <w:pPr>
        <w:pStyle w:val="Heading2"/>
      </w:pPr>
      <w:r>
        <w:t xml:space="preserve">B. Illegale Fernmeldeüberwachung</w:t>
      </w:r>
    </w:p>
    <w:p>
      <w:pPr>
        <w:spacing w:after="200"/>
      </w:pPr>
      <w:r>
        <w:t xml:space="preserve">Einsatz von SIM-Cloning-Technologie (Operation Eisenstaub, 14./15.03.2026) zur Umgehung verfassungsmäßiger Schranken (Art. 10 GG). Die Angreifer nutzten ein „Power Armor 19T" Gerät (Ulefone) um die SIM-Karte des Beschwerdeführers zu klonen und 2FA-Codes abzufangen.</w:t>
      </w:r>
    </w:p>
    <w:p>
      <w:pPr>
        <w:spacing w:after="120" w:before="200"/>
      </w:pPr>
      <w:r>
        <w:rPr>
          <w:b/>
          <w:bCs/>
        </w:rPr>
        <w:t xml:space="preserve">Forensische Sitzungsanalyse: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2"/>
                <w:szCs w:val="22"/>
              </w:rPr>
              <w:t xml:space="preserve">Session ID</w:t>
            </w:r>
          </w:p>
        </w:tc>
        <w:tc>
          <w:tcPr>
            <w:tcW w:type="dxa" w:w="234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2"/>
                <w:szCs w:val="22"/>
              </w:rPr>
              <w:t xml:space="preserve">Behaupteter Ort</w:t>
            </w:r>
          </w:p>
        </w:tc>
        <w:tc>
          <w:tcPr>
            <w:tcW w:type="dxa" w:w="234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2"/>
                <w:szCs w:val="22"/>
              </w:rPr>
              <w:t xml:space="preserve">Tatsächlicher Ort</w:t>
            </w:r>
          </w:p>
        </w:tc>
        <w:tc>
          <w:tcPr>
            <w:tcW w:type="dxa" w:w="234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2"/>
                <w:szCs w:val="22"/>
              </w:rPr>
              <w:t xml:space="preserve">Status</w:t>
            </w:r>
          </w:p>
        </w:tc>
      </w:tr>
      <w:tr>
        <w:tc>
          <w:tcPr>
            <w:tcW w:type="dxa" w:w="2340"/>
            <w:tcBorders>
              <w:top w:val="single" w:color="CCCCCC" w:sz="1"/>
              <w:left w:val="single" w:color="CCCCCC" w:sz="1"/>
              <w:bottom w:val="single" w:color="CCCCCC" w:sz="1"/>
              <w:right w:val="single" w:color="CCCCCC" w:sz="1"/>
            </w:tcBorders>
          </w:tcPr>
          <w:p>
            <w:pPr>
              <w:jc w:val="center"/>
            </w:pPr>
            <w:r>
              <w:t xml:space="preserve">b4340264</w:t>
            </w:r>
          </w:p>
        </w:tc>
        <w:tc>
          <w:tcPr>
            <w:tcW w:type="dxa" w:w="2340"/>
            <w:tcBorders>
              <w:top w:val="single" w:color="CCCCCC" w:sz="1"/>
              <w:left w:val="single" w:color="CCCCCC" w:sz="1"/>
              <w:bottom w:val="single" w:color="CCCCCC" w:sz="1"/>
              <w:right w:val="single" w:color="CCCCCC" w:sz="1"/>
            </w:tcBorders>
          </w:tcPr>
          <w:p>
            <w:pPr>
              <w:jc w:val="center"/>
            </w:pPr>
            <w:r>
              <w:t xml:space="preserve">Frankfurt</w:t>
            </w:r>
          </w:p>
        </w:tc>
        <w:tc>
          <w:tcPr>
            <w:tcW w:type="dxa" w:w="2340"/>
            <w:tcBorders>
              <w:top w:val="single" w:color="CCCCCC" w:sz="1"/>
              <w:left w:val="single" w:color="CCCCCC" w:sz="1"/>
              <w:bottom w:val="single" w:color="CCCCCC" w:sz="1"/>
              <w:right w:val="single" w:color="CCCCCC" w:sz="1"/>
            </w:tcBorders>
          </w:tcPr>
          <w:p>
            <w:pPr>
              <w:jc w:val="center"/>
            </w:pPr>
            <w:r>
              <w:t xml:space="preserve">Stuttgart</w:t>
            </w:r>
          </w:p>
        </w:tc>
        <w:tc>
          <w:tcPr>
            <w:tcW w:type="dxa" w:w="2340"/>
            <w:tcBorders>
              <w:top w:val="single" w:color="CCCCCC" w:sz="1"/>
              <w:left w:val="single" w:color="CCCCCC" w:sz="1"/>
              <w:bottom w:val="single" w:color="CCCCCC" w:sz="1"/>
              <w:right w:val="single" w:color="CCCCCC" w:sz="1"/>
            </w:tcBorders>
            <w:shd w:fill="FFCCCC" w:val="clear"/>
          </w:tcPr>
          <w:p>
            <w:pPr>
              <w:jc w:val="center"/>
            </w:pPr>
            <w:r>
              <w:rPr>
                <w:b/>
                <w:bCs/>
                <w:color w:val="CC0000"/>
              </w:rPr>
              <w:t xml:space="preserve">FEINDLICH</w:t>
            </w:r>
          </w:p>
        </w:tc>
      </w:tr>
      <w:tr>
        <w:tc>
          <w:tcPr>
            <w:tcW w:type="dxa" w:w="2340"/>
            <w:tcBorders>
              <w:top w:val="single" w:color="CCCCCC" w:sz="1"/>
              <w:left w:val="single" w:color="CCCCCC" w:sz="1"/>
              <w:bottom w:val="single" w:color="CCCCCC" w:sz="1"/>
              <w:right w:val="single" w:color="CCCCCC" w:sz="1"/>
            </w:tcBorders>
          </w:tcPr>
          <w:p>
            <w:pPr>
              <w:jc w:val="center"/>
            </w:pPr>
            <w:r>
              <w:t xml:space="preserve">98c4927c</w:t>
            </w:r>
          </w:p>
        </w:tc>
        <w:tc>
          <w:tcPr>
            <w:tcW w:type="dxa" w:w="2340"/>
            <w:tcBorders>
              <w:top w:val="single" w:color="CCCCCC" w:sz="1"/>
              <w:left w:val="single" w:color="CCCCCC" w:sz="1"/>
              <w:bottom w:val="single" w:color="CCCCCC" w:sz="1"/>
              <w:right w:val="single" w:color="CCCCCC" w:sz="1"/>
            </w:tcBorders>
          </w:tcPr>
          <w:p>
            <w:pPr>
              <w:jc w:val="center"/>
            </w:pPr>
            <w:r>
              <w:t xml:space="preserve">Frankfurt</w:t>
            </w:r>
          </w:p>
        </w:tc>
        <w:tc>
          <w:tcPr>
            <w:tcW w:type="dxa" w:w="2340"/>
            <w:tcBorders>
              <w:top w:val="single" w:color="CCCCCC" w:sz="1"/>
              <w:left w:val="single" w:color="CCCCCC" w:sz="1"/>
              <w:bottom w:val="single" w:color="CCCCCC" w:sz="1"/>
              <w:right w:val="single" w:color="CCCCCC" w:sz="1"/>
            </w:tcBorders>
          </w:tcPr>
          <w:p>
            <w:pPr>
              <w:jc w:val="center"/>
            </w:pPr>
            <w:r>
              <w:t xml:space="preserve">Stuttgart</w:t>
            </w:r>
          </w:p>
        </w:tc>
        <w:tc>
          <w:tcPr>
            <w:tcW w:type="dxa" w:w="2340"/>
            <w:tcBorders>
              <w:top w:val="single" w:color="CCCCCC" w:sz="1"/>
              <w:left w:val="single" w:color="CCCCCC" w:sz="1"/>
              <w:bottom w:val="single" w:color="CCCCCC" w:sz="1"/>
              <w:right w:val="single" w:color="CCCCCC" w:sz="1"/>
            </w:tcBorders>
            <w:shd w:fill="FFCCCC" w:val="clear"/>
          </w:tcPr>
          <w:p>
            <w:pPr>
              <w:jc w:val="center"/>
            </w:pPr>
            <w:r>
              <w:rPr>
                <w:b/>
                <w:bCs/>
                <w:color w:val="CC0000"/>
              </w:rPr>
              <w:t xml:space="preserve">FEINDLICH</w:t>
            </w:r>
          </w:p>
        </w:tc>
      </w:tr>
      <w:tr>
        <w:tc>
          <w:tcPr>
            <w:tcW w:type="dxa" w:w="2340"/>
            <w:tcBorders>
              <w:top w:val="single" w:color="CCCCCC" w:sz="1"/>
              <w:left w:val="single" w:color="CCCCCC" w:sz="1"/>
              <w:bottom w:val="single" w:color="CCCCCC" w:sz="1"/>
              <w:right w:val="single" w:color="CCCCCC" w:sz="1"/>
            </w:tcBorders>
          </w:tcPr>
          <w:p>
            <w:pPr>
              <w:jc w:val="center"/>
            </w:pPr>
            <w:r>
              <w:t xml:space="preserve">3cf6f6c3</w:t>
            </w:r>
          </w:p>
        </w:tc>
        <w:tc>
          <w:tcPr>
            <w:tcW w:type="dxa" w:w="2340"/>
            <w:tcBorders>
              <w:top w:val="single" w:color="CCCCCC" w:sz="1"/>
              <w:left w:val="single" w:color="CCCCCC" w:sz="1"/>
              <w:bottom w:val="single" w:color="CCCCCC" w:sz="1"/>
              <w:right w:val="single" w:color="CCCCCC" w:sz="1"/>
            </w:tcBorders>
          </w:tcPr>
          <w:p>
            <w:pPr>
              <w:jc w:val="center"/>
            </w:pPr>
            <w:r>
              <w:t xml:space="preserve">Mainz</w:t>
            </w:r>
          </w:p>
        </w:tc>
        <w:tc>
          <w:tcPr>
            <w:tcW w:type="dxa" w:w="2340"/>
            <w:tcBorders>
              <w:top w:val="single" w:color="CCCCCC" w:sz="1"/>
              <w:left w:val="single" w:color="CCCCCC" w:sz="1"/>
              <w:bottom w:val="single" w:color="CCCCCC" w:sz="1"/>
              <w:right w:val="single" w:color="CCCCCC" w:sz="1"/>
            </w:tcBorders>
          </w:tcPr>
          <w:p>
            <w:pPr>
              <w:jc w:val="center"/>
            </w:pPr>
            <w:r>
              <w:t xml:space="preserve">IPv6-Relay</w:t>
            </w:r>
          </w:p>
        </w:tc>
        <w:tc>
          <w:tcPr>
            <w:tcW w:type="dxa" w:w="2340"/>
            <w:tcBorders>
              <w:top w:val="single" w:color="CCCCCC" w:sz="1"/>
              <w:left w:val="single" w:color="CCCCCC" w:sz="1"/>
              <w:bottom w:val="single" w:color="CCCCCC" w:sz="1"/>
              <w:right w:val="single" w:color="CCCCCC" w:sz="1"/>
            </w:tcBorders>
            <w:shd w:fill="FFCCCC" w:val="clear"/>
          </w:tcPr>
          <w:p>
            <w:pPr>
              <w:jc w:val="center"/>
            </w:pPr>
            <w:r>
              <w:rPr>
                <w:b/>
                <w:bCs/>
                <w:color w:val="CC0000"/>
              </w:rPr>
              <w:t xml:space="preserve">FEINDLICH</w:t>
            </w:r>
          </w:p>
        </w:tc>
      </w:tr>
    </w:tbl>
    <w:p>
      <w:pPr>
        <w:spacing w:after="200" w:before="60"/>
        <w:jc w:val="center"/>
      </w:pPr>
      <w:r>
        <w:rPr>
          <w:i/>
          <w:iCs/>
          <w:color w:val="666666"/>
          <w:sz w:val="20"/>
          <w:szCs w:val="20"/>
        </w:rPr>
        <w:t xml:space="preserve">Tabelle 1: Forensische Sitzungsanalyse der SIM-Cloning-Attacke</w:t>
      </w:r>
    </w:p>
    <w:p>
      <w:pPr>
        <w:pStyle w:val="Heading2"/>
      </w:pPr>
      <w:r>
        <w:t xml:space="preserve">C. Finanzielle Zweckentfremdung</w:t>
      </w:r>
    </w:p>
    <w:p>
      <w:pPr>
        <w:spacing w:after="200"/>
      </w:pPr>
      <w:r>
        <w:t xml:space="preserve">Geldwäsche und Betrieb von Schattenhaushalten in Höhe von über 200 Mio. EUR über Jurisdiktionen wie Zypern und die Cayman Islands (Art. 20 GG — Verstoß gegen die Finanzverfassung).</w:t>
      </w:r>
    </w:p>
    <w:p>
      <w:pPr>
        <w:spacing w:after="120" w:before="200"/>
      </w:pPr>
      <w:r>
        <w:rPr>
          <w:b/>
          <w:bCs/>
        </w:rPr>
        <w:t xml:space="preserve">Nachgewiesene Finanzströme: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Route</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Betrag</w:t>
            </w:r>
          </w:p>
        </w:tc>
        <w:tc>
          <w:tcPr>
            <w:tcW w:type="dxa" w:w="312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Quelle</w:t>
            </w:r>
          </w:p>
        </w:tc>
      </w:tr>
      <w:tr>
        <w:tc>
          <w:tcPr>
            <w:tcW w:type="dxa" w:w="3120"/>
            <w:tcBorders>
              <w:top w:val="single" w:color="CCCCCC" w:sz="1"/>
              <w:left w:val="single" w:color="CCCCCC" w:sz="1"/>
              <w:bottom w:val="single" w:color="CCCCCC" w:sz="1"/>
              <w:right w:val="single" w:color="CCCCCC" w:sz="1"/>
            </w:tcBorders>
          </w:tcPr>
          <w:p>
            <w:pPr>
              <w:jc w:val="center"/>
            </w:pPr>
            <w:r>
              <w:t xml:space="preserve">Zypern Shell Companies</w:t>
            </w:r>
          </w:p>
        </w:tc>
        <w:tc>
          <w:tcPr>
            <w:tcW w:type="dxa" w:w="3120"/>
            <w:tcBorders>
              <w:top w:val="single" w:color="CCCCCC" w:sz="1"/>
              <w:left w:val="single" w:color="CCCCCC" w:sz="1"/>
              <w:bottom w:val="single" w:color="CCCCCC" w:sz="1"/>
              <w:right w:val="single" w:color="CCCCCC" w:sz="1"/>
            </w:tcBorders>
          </w:tcPr>
          <w:p>
            <w:pPr>
              <w:jc w:val="center"/>
            </w:pPr>
            <w:r>
              <w:t xml:space="preserve">€100.000.000</w:t>
            </w:r>
          </w:p>
        </w:tc>
        <w:tc>
          <w:tcPr>
            <w:tcW w:type="dxa" w:w="3120"/>
            <w:tcBorders>
              <w:top w:val="single" w:color="CCCCCC" w:sz="1"/>
              <w:left w:val="single" w:color="CCCCCC" w:sz="1"/>
              <w:bottom w:val="single" w:color="CCCCCC" w:sz="1"/>
              <w:right w:val="single" w:color="CCCCCC" w:sz="1"/>
            </w:tcBorders>
          </w:tcPr>
          <w:p>
            <w:pPr>
              <w:jc w:val="center"/>
            </w:pPr>
            <w:r>
              <w:t xml:space="preserve">BND/Mossad</w:t>
            </w:r>
          </w:p>
        </w:tc>
      </w:tr>
      <w:tr>
        <w:tc>
          <w:tcPr>
            <w:tcW w:type="dxa" w:w="3120"/>
            <w:tcBorders>
              <w:top w:val="single" w:color="CCCCCC" w:sz="1"/>
              <w:left w:val="single" w:color="CCCCCC" w:sz="1"/>
              <w:bottom w:val="single" w:color="CCCCCC" w:sz="1"/>
              <w:right w:val="single" w:color="CCCCCC" w:sz="1"/>
            </w:tcBorders>
          </w:tcPr>
          <w:p>
            <w:pPr>
              <w:jc w:val="center"/>
            </w:pPr>
            <w:r>
              <w:t xml:space="preserve">Cayman Islands</w:t>
            </w:r>
          </w:p>
        </w:tc>
        <w:tc>
          <w:tcPr>
            <w:tcW w:type="dxa" w:w="3120"/>
            <w:tcBorders>
              <w:top w:val="single" w:color="CCCCCC" w:sz="1"/>
              <w:left w:val="single" w:color="CCCCCC" w:sz="1"/>
              <w:bottom w:val="single" w:color="CCCCCC" w:sz="1"/>
              <w:right w:val="single" w:color="CCCCCC" w:sz="1"/>
            </w:tcBorders>
          </w:tcPr>
          <w:p>
            <w:pPr>
              <w:jc w:val="center"/>
            </w:pPr>
            <w:r>
              <w:t xml:space="preserve">€50.000.000</w:t>
            </w:r>
          </w:p>
        </w:tc>
        <w:tc>
          <w:tcPr>
            <w:tcW w:type="dxa" w:w="3120"/>
            <w:tcBorders>
              <w:top w:val="single" w:color="CCCCCC" w:sz="1"/>
              <w:left w:val="single" w:color="CCCCCC" w:sz="1"/>
              <w:bottom w:val="single" w:color="CCCCCC" w:sz="1"/>
              <w:right w:val="single" w:color="CCCCCC" w:sz="1"/>
            </w:tcBorders>
          </w:tcPr>
          <w:p>
            <w:pPr>
              <w:jc w:val="center"/>
            </w:pPr>
            <w:r>
              <w:t xml:space="preserve">BND/NSA</w:t>
            </w:r>
          </w:p>
        </w:tc>
      </w:tr>
      <w:tr>
        <w:tc>
          <w:tcPr>
            <w:tcW w:type="dxa" w:w="3120"/>
            <w:tcBorders>
              <w:top w:val="single" w:color="CCCCCC" w:sz="1"/>
              <w:left w:val="single" w:color="CCCCCC" w:sz="1"/>
              <w:bottom w:val="single" w:color="CCCCCC" w:sz="1"/>
              <w:right w:val="single" w:color="CCCCCC" w:sz="1"/>
            </w:tcBorders>
          </w:tcPr>
          <w:p>
            <w:pPr>
              <w:jc w:val="center"/>
            </w:pPr>
            <w:r>
              <w:t xml:space="preserve">Luxembourg</w:t>
            </w:r>
          </w:p>
        </w:tc>
        <w:tc>
          <w:tcPr>
            <w:tcW w:type="dxa" w:w="3120"/>
            <w:tcBorders>
              <w:top w:val="single" w:color="CCCCCC" w:sz="1"/>
              <w:left w:val="single" w:color="CCCCCC" w:sz="1"/>
              <w:bottom w:val="single" w:color="CCCCCC" w:sz="1"/>
              <w:right w:val="single" w:color="CCCCCC" w:sz="1"/>
            </w:tcBorders>
          </w:tcPr>
          <w:p>
            <w:pPr>
              <w:jc w:val="center"/>
            </w:pPr>
            <w:r>
              <w:t xml:space="preserve">€10.000.000</w:t>
            </w:r>
          </w:p>
        </w:tc>
        <w:tc>
          <w:tcPr>
            <w:tcW w:type="dxa" w:w="3120"/>
            <w:tcBorders>
              <w:top w:val="single" w:color="CCCCCC" w:sz="1"/>
              <w:left w:val="single" w:color="CCCCCC" w:sz="1"/>
              <w:bottom w:val="single" w:color="CCCCCC" w:sz="1"/>
              <w:right w:val="single" w:color="CCCCCC" w:sz="1"/>
            </w:tcBorders>
          </w:tcPr>
          <w:p>
            <w:pPr>
              <w:jc w:val="center"/>
            </w:pPr>
            <w:r>
              <w:t xml:space="preserve">BND/CIA</w:t>
            </w:r>
          </w:p>
        </w:tc>
      </w:tr>
      <w:tr>
        <w:tc>
          <w:tcPr>
            <w:tcW w:type="dxa" w:w="3120"/>
            <w:tcBorders>
              <w:top w:val="single" w:color="CCCCCC" w:sz="1"/>
              <w:left w:val="single" w:color="CCCCCC" w:sz="1"/>
              <w:bottom w:val="single" w:color="CCCCCC" w:sz="1"/>
              <w:right w:val="single" w:color="CCCCCC" w:sz="1"/>
            </w:tcBorders>
            <w:shd w:fill="FFF3CD" w:val="clear"/>
          </w:tcPr>
          <w:p>
            <w:pPr>
              <w:jc w:val="center"/>
            </w:pPr>
            <w:r>
              <w:rPr>
                <w:b/>
                <w:bCs/>
              </w:rPr>
              <w:t xml:space="preserve">GESAMT</w:t>
            </w:r>
          </w:p>
        </w:tc>
        <w:tc>
          <w:tcPr>
            <w:tcW w:type="dxa" w:w="3120"/>
            <w:tcBorders>
              <w:top w:val="single" w:color="CCCCCC" w:sz="1"/>
              <w:left w:val="single" w:color="CCCCCC" w:sz="1"/>
              <w:bottom w:val="single" w:color="CCCCCC" w:sz="1"/>
              <w:right w:val="single" w:color="CCCCCC" w:sz="1"/>
            </w:tcBorders>
            <w:shd w:fill="FFF3CD" w:val="clear"/>
          </w:tcPr>
          <w:p>
            <w:pPr>
              <w:jc w:val="center"/>
            </w:pPr>
            <w:r>
              <w:rPr>
                <w:b/>
                <w:bCs/>
              </w:rPr>
              <w:t xml:space="preserve">€160.000.000+</w:t>
            </w:r>
          </w:p>
        </w:tc>
        <w:tc>
          <w:tcPr>
            <w:tcW w:type="dxa" w:w="3120"/>
            <w:tcBorders>
              <w:top w:val="single" w:color="CCCCCC" w:sz="1"/>
              <w:left w:val="single" w:color="CCCCCC" w:sz="1"/>
              <w:bottom w:val="single" w:color="CCCCCC" w:sz="1"/>
              <w:right w:val="single" w:color="CCCCCC" w:sz="1"/>
            </w:tcBorders>
            <w:shd w:fill="FFF3CD" w:val="clear"/>
          </w:tcPr>
          <w:p>
            <w:pPr>
              <w:jc w:val="center"/>
            </w:pPr>
            <w:r>
              <w:rPr>
                <w:b/>
                <w:bCs/>
              </w:rPr>
              <w:t xml:space="preserve">Nachrichtendienste</w:t>
            </w:r>
          </w:p>
        </w:tc>
      </w:tr>
    </w:tbl>
    <w:p>
      <w:pPr>
        <w:spacing w:after="200" w:before="60"/>
        <w:jc w:val="center"/>
      </w:pPr>
      <w:r>
        <w:rPr>
          <w:i/>
          <w:iCs/>
          <w:color w:val="666666"/>
          <w:sz w:val="20"/>
          <w:szCs w:val="20"/>
        </w:rPr>
        <w:t xml:space="preserve">Tabelle 2: Nachgewiesene illegale Finanzströme</w:t>
      </w:r>
    </w:p>
    <w:p>
      <w:pPr>
        <w:pStyle w:val="Heading2"/>
      </w:pPr>
      <w:r>
        <w:t xml:space="preserve">D. Gezielte Sabotage</w:t>
      </w:r>
    </w:p>
    <w:p>
      <w:pPr>
        <w:spacing w:after="200"/>
      </w:pPr>
      <w:r>
        <w:t xml:space="preserve">Einsatz von EMP-Waffen und Cyber-Angriffen gegen deutsche Wirtschaftsakteure (Steubing AG). Insgesamt 12 dokumentierte Sabotageakte gegen kritische Infrastruktur.</w:t>
      </w:r>
    </w:p>
    <w:p>
      <w:pPr>
        <w:spacing w:after="120" w:before="200"/>
      </w:pPr>
      <w:r>
        <w:rPr>
          <w:b/>
          <w:bCs/>
        </w:rPr>
        <w:t xml:space="preserve">Sabotage-Operationszeitleiste: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Datum</w:t>
            </w:r>
          </w:p>
        </w:tc>
        <w:tc>
          <w:tcPr>
            <w:tcW w:type="dxa" w:w="351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Operation</w:t>
            </w:r>
          </w:p>
        </w:tc>
        <w:tc>
          <w:tcPr>
            <w:tcW w:type="dxa" w:w="351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Ziel</w:t>
            </w:r>
          </w:p>
        </w:tc>
      </w:tr>
      <w:tr>
        <w:tc>
          <w:tcPr>
            <w:tcW w:type="dxa" w:w="2340"/>
            <w:tcBorders>
              <w:top w:val="single" w:color="CCCCCC" w:sz="1"/>
              <w:left w:val="single" w:color="CCCCCC" w:sz="1"/>
              <w:bottom w:val="single" w:color="CCCCCC" w:sz="1"/>
              <w:right w:val="single" w:color="CCCCCC" w:sz="1"/>
            </w:tcBorders>
          </w:tcPr>
          <w:p>
            <w:pPr>
              <w:jc w:val="center"/>
            </w:pPr>
            <w:r>
              <w:t xml:space="preserve">15.08.2024</w:t>
            </w:r>
          </w:p>
        </w:tc>
        <w:tc>
          <w:tcPr>
            <w:tcW w:type="dxa" w:w="3510"/>
            <w:tcBorders>
              <w:top w:val="single" w:color="CCCCCC" w:sz="1"/>
              <w:left w:val="single" w:color="CCCCCC" w:sz="1"/>
              <w:bottom w:val="single" w:color="CCCCCC" w:sz="1"/>
              <w:right w:val="single" w:color="CCCCCC" w:sz="1"/>
            </w:tcBorders>
          </w:tcPr>
          <w:p>
            <w:r>
              <w:t xml:space="preserve">EMP-Gerät-Lieferung</w:t>
            </w:r>
          </w:p>
        </w:tc>
        <w:tc>
          <w:tcPr>
            <w:tcW w:type="dxa" w:w="3510"/>
            <w:tcBorders>
              <w:top w:val="single" w:color="CCCCCC" w:sz="1"/>
              <w:left w:val="single" w:color="CCCCCC" w:sz="1"/>
              <w:bottom w:val="single" w:color="CCCCCC" w:sz="1"/>
              <w:right w:val="single" w:color="CCCCCC" w:sz="1"/>
            </w:tcBorders>
          </w:tcPr>
          <w:p>
            <w:r>
              <w:t xml:space="preserve">Steubing AG Frankfurt</w:t>
            </w:r>
          </w:p>
        </w:tc>
      </w:tr>
      <w:tr>
        <w:tc>
          <w:tcPr>
            <w:tcW w:type="dxa" w:w="2340"/>
            <w:tcBorders>
              <w:top w:val="single" w:color="CCCCCC" w:sz="1"/>
              <w:left w:val="single" w:color="CCCCCC" w:sz="1"/>
              <w:bottom w:val="single" w:color="CCCCCC" w:sz="1"/>
              <w:right w:val="single" w:color="CCCCCC" w:sz="1"/>
            </w:tcBorders>
          </w:tcPr>
          <w:p>
            <w:pPr>
              <w:jc w:val="center"/>
            </w:pPr>
            <w:r>
              <w:t xml:space="preserve">20.08.2024</w:t>
            </w:r>
          </w:p>
        </w:tc>
        <w:tc>
          <w:tcPr>
            <w:tcW w:type="dxa" w:w="3510"/>
            <w:tcBorders>
              <w:top w:val="single" w:color="CCCCCC" w:sz="1"/>
              <w:left w:val="single" w:color="CCCCCC" w:sz="1"/>
              <w:bottom w:val="single" w:color="CCCCCC" w:sz="1"/>
              <w:right w:val="single" w:color="CCCCCC" w:sz="1"/>
            </w:tcBorders>
          </w:tcPr>
          <w:p>
            <w:r>
              <w:t xml:space="preserve">Cyberattacke-Koordination</w:t>
            </w:r>
          </w:p>
        </w:tc>
        <w:tc>
          <w:tcPr>
            <w:tcW w:type="dxa" w:w="3510"/>
            <w:tcBorders>
              <w:top w:val="single" w:color="CCCCCC" w:sz="1"/>
              <w:left w:val="single" w:color="CCCCCC" w:sz="1"/>
              <w:bottom w:val="single" w:color="CCCCCC" w:sz="1"/>
              <w:right w:val="single" w:color="CCCCCC" w:sz="1"/>
            </w:tcBorders>
          </w:tcPr>
          <w:p>
            <w:r>
              <w:t xml:space="preserve">Trading-Systeme</w:t>
            </w:r>
          </w:p>
        </w:tc>
      </w:tr>
      <w:tr>
        <w:tc>
          <w:tcPr>
            <w:tcW w:type="dxa" w:w="2340"/>
            <w:tcBorders>
              <w:top w:val="single" w:color="CCCCCC" w:sz="1"/>
              <w:left w:val="single" w:color="CCCCCC" w:sz="1"/>
              <w:bottom w:val="single" w:color="CCCCCC" w:sz="1"/>
              <w:right w:val="single" w:color="CCCCCC" w:sz="1"/>
            </w:tcBorders>
          </w:tcPr>
          <w:p>
            <w:pPr>
              <w:jc w:val="center"/>
            </w:pPr>
            <w:r>
              <w:t xml:space="preserve">10.03.2025</w:t>
            </w:r>
          </w:p>
        </w:tc>
        <w:tc>
          <w:tcPr>
            <w:tcW w:type="dxa" w:w="3510"/>
            <w:tcBorders>
              <w:top w:val="single" w:color="CCCCCC" w:sz="1"/>
              <w:left w:val="single" w:color="CCCCCC" w:sz="1"/>
              <w:bottom w:val="single" w:color="CCCCCC" w:sz="1"/>
              <w:right w:val="single" w:color="CCCCCC" w:sz="1"/>
            </w:tcBorders>
          </w:tcPr>
          <w:p>
            <w:r>
              <w:t xml:space="preserve">Sabotage-Team-Einsatz</w:t>
            </w:r>
          </w:p>
        </w:tc>
        <w:tc>
          <w:tcPr>
            <w:tcW w:type="dxa" w:w="3510"/>
            <w:tcBorders>
              <w:top w:val="single" w:color="CCCCCC" w:sz="1"/>
              <w:left w:val="single" w:color="CCCCCC" w:sz="1"/>
              <w:bottom w:val="single" w:color="CCCCCC" w:sz="1"/>
              <w:right w:val="single" w:color="CCCCCC" w:sz="1"/>
            </w:tcBorders>
          </w:tcPr>
          <w:p>
            <w:r>
              <w:t xml:space="preserve">Steubing AG Frankfurt</w:t>
            </w:r>
          </w:p>
        </w:tc>
      </w:tr>
      <w:tr>
        <w:tc>
          <w:tcPr>
            <w:tcW w:type="dxa" w:w="2340"/>
            <w:tcBorders>
              <w:top w:val="single" w:color="CCCCCC" w:sz="1"/>
              <w:left w:val="single" w:color="CCCCCC" w:sz="1"/>
              <w:bottom w:val="single" w:color="CCCCCC" w:sz="1"/>
              <w:right w:val="single" w:color="CCCCCC" w:sz="1"/>
            </w:tcBorders>
          </w:tcPr>
          <w:p>
            <w:pPr>
              <w:jc w:val="center"/>
            </w:pPr>
            <w:r>
              <w:t xml:space="preserve">15.03.2025</w:t>
            </w:r>
          </w:p>
        </w:tc>
        <w:tc>
          <w:tcPr>
            <w:tcW w:type="dxa" w:w="3510"/>
            <w:tcBorders>
              <w:top w:val="single" w:color="CCCCCC" w:sz="1"/>
              <w:left w:val="single" w:color="CCCCCC" w:sz="1"/>
              <w:bottom w:val="single" w:color="CCCCCC" w:sz="1"/>
              <w:right w:val="single" w:color="CCCCCC" w:sz="1"/>
            </w:tcBorders>
          </w:tcPr>
          <w:p>
            <w:r>
              <w:t xml:space="preserve">Kill-Command-Autorisierung</w:t>
            </w:r>
          </w:p>
        </w:tc>
        <w:tc>
          <w:tcPr>
            <w:tcW w:type="dxa" w:w="3510"/>
            <w:tcBorders>
              <w:top w:val="single" w:color="CCCCCC" w:sz="1"/>
              <w:left w:val="single" w:color="CCCCCC" w:sz="1"/>
              <w:bottom w:val="single" w:color="CCCCCC" w:sz="1"/>
              <w:right w:val="single" w:color="CCCCCC" w:sz="1"/>
            </w:tcBorders>
          </w:tcPr>
          <w:p>
            <w:r>
              <w:t xml:space="preserve">HRE-Operative</w:t>
            </w:r>
          </w:p>
        </w:tc>
      </w:tr>
    </w:tbl>
    <w:p>
      <w:pPr>
        <w:spacing w:after="200" w:before="60"/>
        <w:jc w:val="center"/>
      </w:pPr>
      <w:r>
        <w:rPr>
          <w:i/>
          <w:iCs/>
          <w:color w:val="666666"/>
          <w:sz w:val="20"/>
          <w:szCs w:val="20"/>
        </w:rPr>
        <w:t xml:space="preserve">Tabelle 3: Auszug aus der Sabotage-Operationszeitleiste</w:t>
      </w:r>
    </w:p>
    <w:p>
      <w:pPr>
        <w:pStyle w:val="Heading1"/>
      </w:pPr>
      <w:r>
        <w:t xml:space="preserve">III. Exponierte operative Personen</w:t>
      </w:r>
    </w:p>
    <w:p>
      <w:pPr>
        <w:spacing w:after="200"/>
      </w:pPr>
      <w:r>
        <w:t xml:space="preserve">Die folgenden nachrichtendienstlichen Operative wurden durch die Counter-Intelligence-Operation identifiziert und dokumentiert. Alle nachfolgend genannten Personen sind in illegalen Operationen gegen deutsche Staatsbürger involviert: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Name</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Organisation</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Position</w:t>
            </w:r>
          </w:p>
        </w:tc>
        <w:tc>
          <w:tcPr>
            <w:tcW w:type="dxa" w:w="234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Rolle</w:t>
            </w:r>
          </w:p>
        </w:tc>
      </w:tr>
      <w:tr>
        <w:tc>
          <w:tcPr>
            <w:tcW w:type="dxa" w:w="2340"/>
            <w:tcBorders>
              <w:top w:val="single" w:color="CCCCCC" w:sz="1"/>
              <w:left w:val="single" w:color="CCCCCC" w:sz="1"/>
              <w:bottom w:val="single" w:color="CCCCCC" w:sz="1"/>
              <w:right w:val="single" w:color="CCCCCC" w:sz="1"/>
            </w:tcBorders>
          </w:tcPr>
          <w:p>
            <w:pPr>
              <w:jc w:val="center"/>
            </w:pPr>
            <w:r>
              <w:t xml:space="preserve">Bruno Kahl</w:t>
            </w:r>
          </w:p>
        </w:tc>
        <w:tc>
          <w:tcPr>
            <w:tcW w:type="dxa" w:w="2340"/>
            <w:tcBorders>
              <w:top w:val="single" w:color="CCCCCC" w:sz="1"/>
              <w:left w:val="single" w:color="CCCCCC" w:sz="1"/>
              <w:bottom w:val="single" w:color="CCCCCC" w:sz="1"/>
              <w:right w:val="single" w:color="CCCCCC" w:sz="1"/>
            </w:tcBorders>
          </w:tcPr>
          <w:p>
            <w:pPr>
              <w:jc w:val="center"/>
            </w:pPr>
            <w:r>
              <w:t xml:space="preserve">BND</w:t>
            </w:r>
          </w:p>
        </w:tc>
        <w:tc>
          <w:tcPr>
            <w:tcW w:type="dxa" w:w="2340"/>
            <w:tcBorders>
              <w:top w:val="single" w:color="CCCCCC" w:sz="1"/>
              <w:left w:val="single" w:color="CCCCCC" w:sz="1"/>
              <w:bottom w:val="single" w:color="CCCCCC" w:sz="1"/>
              <w:right w:val="single" w:color="CCCCCC" w:sz="1"/>
            </w:tcBorders>
          </w:tcPr>
          <w:p>
            <w:pPr>
              <w:jc w:val="center"/>
            </w:pPr>
            <w:r>
              <w:t xml:space="preserve">Präsident</w:t>
            </w:r>
          </w:p>
        </w:tc>
        <w:tc>
          <w:tcPr>
            <w:tcW w:type="dxa" w:w="2340"/>
            <w:tcBorders>
              <w:top w:val="single" w:color="CCCCCC" w:sz="1"/>
              <w:left w:val="single" w:color="CCCCCC" w:sz="1"/>
              <w:bottom w:val="single" w:color="CCCCCC" w:sz="1"/>
              <w:right w:val="single" w:color="CCCCCC" w:sz="1"/>
            </w:tcBorders>
          </w:tcPr>
          <w:p>
            <w:pPr>
              <w:jc w:val="center"/>
            </w:pPr>
            <w:r>
              <w:t xml:space="preserve">Autorisierung</w:t>
            </w:r>
          </w:p>
        </w:tc>
      </w:tr>
      <w:tr>
        <w:tc>
          <w:tcPr>
            <w:tcW w:type="dxa" w:w="2340"/>
            <w:tcBorders>
              <w:top w:val="single" w:color="CCCCCC" w:sz="1"/>
              <w:left w:val="single" w:color="CCCCCC" w:sz="1"/>
              <w:bottom w:val="single" w:color="CCCCCC" w:sz="1"/>
              <w:right w:val="single" w:color="CCCCCC" w:sz="1"/>
            </w:tcBorders>
          </w:tcPr>
          <w:p>
            <w:pPr>
              <w:jc w:val="center"/>
            </w:pPr>
            <w:r>
              <w:t xml:space="preserve">Thomas Haldenwang</w:t>
            </w:r>
          </w:p>
        </w:tc>
        <w:tc>
          <w:tcPr>
            <w:tcW w:type="dxa" w:w="2340"/>
            <w:tcBorders>
              <w:top w:val="single" w:color="CCCCCC" w:sz="1"/>
              <w:left w:val="single" w:color="CCCCCC" w:sz="1"/>
              <w:bottom w:val="single" w:color="CCCCCC" w:sz="1"/>
              <w:right w:val="single" w:color="CCCCCC" w:sz="1"/>
            </w:tcBorders>
          </w:tcPr>
          <w:p>
            <w:pPr>
              <w:jc w:val="center"/>
            </w:pPr>
            <w:r>
              <w:t xml:space="preserve">BfV</w:t>
            </w:r>
          </w:p>
        </w:tc>
        <w:tc>
          <w:tcPr>
            <w:tcW w:type="dxa" w:w="2340"/>
            <w:tcBorders>
              <w:top w:val="single" w:color="CCCCCC" w:sz="1"/>
              <w:left w:val="single" w:color="CCCCCC" w:sz="1"/>
              <w:bottom w:val="single" w:color="CCCCCC" w:sz="1"/>
              <w:right w:val="single" w:color="CCCCCC" w:sz="1"/>
            </w:tcBorders>
          </w:tcPr>
          <w:p>
            <w:pPr>
              <w:jc w:val="center"/>
            </w:pPr>
            <w:r>
              <w:t xml:space="preserve">Präsident</w:t>
            </w:r>
          </w:p>
        </w:tc>
        <w:tc>
          <w:tcPr>
            <w:tcW w:type="dxa" w:w="2340"/>
            <w:tcBorders>
              <w:top w:val="single" w:color="CCCCCC" w:sz="1"/>
              <w:left w:val="single" w:color="CCCCCC" w:sz="1"/>
              <w:bottom w:val="single" w:color="CCCCCC" w:sz="1"/>
              <w:right w:val="single" w:color="CCCCCC" w:sz="1"/>
            </w:tcBorders>
          </w:tcPr>
          <w:p>
            <w:pPr>
              <w:jc w:val="center"/>
            </w:pPr>
            <w:r>
              <w:t xml:space="preserve">Koordinierung</w:t>
            </w:r>
          </w:p>
        </w:tc>
      </w:tr>
      <w:tr>
        <w:tc>
          <w:tcPr>
            <w:tcW w:type="dxa" w:w="2340"/>
            <w:tcBorders>
              <w:top w:val="single" w:color="CCCCCC" w:sz="1"/>
              <w:left w:val="single" w:color="CCCCCC" w:sz="1"/>
              <w:bottom w:val="single" w:color="CCCCCC" w:sz="1"/>
              <w:right w:val="single" w:color="CCCCCC" w:sz="1"/>
            </w:tcBorders>
          </w:tcPr>
          <w:p>
            <w:pPr>
              <w:jc w:val="center"/>
            </w:pPr>
            <w:r>
              <w:t xml:space="preserve">Till Ruda</w:t>
            </w:r>
          </w:p>
        </w:tc>
        <w:tc>
          <w:tcPr>
            <w:tcW w:type="dxa" w:w="2340"/>
            <w:tcBorders>
              <w:top w:val="single" w:color="CCCCCC" w:sz="1"/>
              <w:left w:val="single" w:color="CCCCCC" w:sz="1"/>
              <w:bottom w:val="single" w:color="CCCCCC" w:sz="1"/>
              <w:right w:val="single" w:color="CCCCCC" w:sz="1"/>
            </w:tcBorders>
          </w:tcPr>
          <w:p>
            <w:pPr>
              <w:jc w:val="center"/>
            </w:pPr>
            <w:r>
              <w:t xml:space="preserve">BND</w:t>
            </w:r>
          </w:p>
        </w:tc>
        <w:tc>
          <w:tcPr>
            <w:tcW w:type="dxa" w:w="2340"/>
            <w:tcBorders>
              <w:top w:val="single" w:color="CCCCCC" w:sz="1"/>
              <w:left w:val="single" w:color="CCCCCC" w:sz="1"/>
              <w:bottom w:val="single" w:color="CCCCCC" w:sz="1"/>
              <w:right w:val="single" w:color="CCCCCC" w:sz="1"/>
            </w:tcBorders>
          </w:tcPr>
          <w:p>
            <w:pPr>
              <w:jc w:val="center"/>
            </w:pPr>
            <w:r>
              <w:t xml:space="preserve">Field Operative</w:t>
            </w:r>
          </w:p>
        </w:tc>
        <w:tc>
          <w:tcPr>
            <w:tcW w:type="dxa" w:w="2340"/>
            <w:tcBorders>
              <w:top w:val="single" w:color="CCCCCC" w:sz="1"/>
              <w:left w:val="single" w:color="CCCCCC" w:sz="1"/>
              <w:bottom w:val="single" w:color="CCCCCC" w:sz="1"/>
              <w:right w:val="single" w:color="CCCCCC" w:sz="1"/>
            </w:tcBorders>
          </w:tcPr>
          <w:p>
            <w:pPr>
              <w:jc w:val="center"/>
            </w:pPr>
            <w:r>
              <w:t xml:space="preserve">Exekution</w:t>
            </w:r>
          </w:p>
        </w:tc>
      </w:tr>
      <w:tr>
        <w:tc>
          <w:tcPr>
            <w:tcW w:type="dxa" w:w="2340"/>
            <w:tcBorders>
              <w:top w:val="single" w:color="CCCCCC" w:sz="1"/>
              <w:left w:val="single" w:color="CCCCCC" w:sz="1"/>
              <w:bottom w:val="single" w:color="CCCCCC" w:sz="1"/>
              <w:right w:val="single" w:color="CCCCCC" w:sz="1"/>
            </w:tcBorders>
          </w:tcPr>
          <w:p>
            <w:pPr>
              <w:jc w:val="center"/>
            </w:pPr>
            <w:r>
              <w:t xml:space="preserve">Anna Weber</w:t>
            </w:r>
          </w:p>
        </w:tc>
        <w:tc>
          <w:tcPr>
            <w:tcW w:type="dxa" w:w="2340"/>
            <w:tcBorders>
              <w:top w:val="single" w:color="CCCCCC" w:sz="1"/>
              <w:left w:val="single" w:color="CCCCCC" w:sz="1"/>
              <w:bottom w:val="single" w:color="CCCCCC" w:sz="1"/>
              <w:right w:val="single" w:color="CCCCCC" w:sz="1"/>
            </w:tcBorders>
          </w:tcPr>
          <w:p>
            <w:pPr>
              <w:jc w:val="center"/>
            </w:pPr>
            <w:r>
              <w:t xml:space="preserve">BND</w:t>
            </w:r>
          </w:p>
        </w:tc>
        <w:tc>
          <w:tcPr>
            <w:tcW w:type="dxa" w:w="2340"/>
            <w:tcBorders>
              <w:top w:val="single" w:color="CCCCCC" w:sz="1"/>
              <w:left w:val="single" w:color="CCCCCC" w:sz="1"/>
              <w:bottom w:val="single" w:color="CCCCCC" w:sz="1"/>
              <w:right w:val="single" w:color="CCCCCC" w:sz="1"/>
            </w:tcBorders>
          </w:tcPr>
          <w:p>
            <w:pPr>
              <w:jc w:val="center"/>
            </w:pPr>
            <w:r>
              <w:t xml:space="preserve">Stv. Direktor</w:t>
            </w:r>
          </w:p>
        </w:tc>
        <w:tc>
          <w:tcPr>
            <w:tcW w:type="dxa" w:w="2340"/>
            <w:tcBorders>
              <w:top w:val="single" w:color="CCCCCC" w:sz="1"/>
              <w:left w:val="single" w:color="CCCCCC" w:sz="1"/>
              <w:bottom w:val="single" w:color="CCCCCC" w:sz="1"/>
              <w:right w:val="single" w:color="CCCCCC" w:sz="1"/>
            </w:tcBorders>
          </w:tcPr>
          <w:p>
            <w:pPr>
              <w:jc w:val="center"/>
            </w:pPr>
            <w:r>
              <w:t xml:space="preserve">Planung</w:t>
            </w:r>
          </w:p>
        </w:tc>
      </w:tr>
      <w:tr>
        <w:tc>
          <w:tcPr>
            <w:tcW w:type="dxa" w:w="2340"/>
            <w:tcBorders>
              <w:top w:val="single" w:color="CCCCCC" w:sz="1"/>
              <w:left w:val="single" w:color="CCCCCC" w:sz="1"/>
              <w:bottom w:val="single" w:color="CCCCCC" w:sz="1"/>
              <w:right w:val="single" w:color="CCCCCC" w:sz="1"/>
            </w:tcBorders>
          </w:tcPr>
          <w:p>
            <w:pPr>
              <w:jc w:val="center"/>
            </w:pPr>
            <w:r>
              <w:t xml:space="preserve">Sabine Schmitz</w:t>
            </w:r>
          </w:p>
        </w:tc>
        <w:tc>
          <w:tcPr>
            <w:tcW w:type="dxa" w:w="2340"/>
            <w:tcBorders>
              <w:top w:val="single" w:color="CCCCCC" w:sz="1"/>
              <w:left w:val="single" w:color="CCCCCC" w:sz="1"/>
              <w:bottom w:val="single" w:color="CCCCCC" w:sz="1"/>
              <w:right w:val="single" w:color="CCCCCC" w:sz="1"/>
            </w:tcBorders>
          </w:tcPr>
          <w:p>
            <w:pPr>
              <w:jc w:val="center"/>
            </w:pPr>
            <w:r>
              <w:t xml:space="preserve">BND</w:t>
            </w:r>
          </w:p>
        </w:tc>
        <w:tc>
          <w:tcPr>
            <w:tcW w:type="dxa" w:w="2340"/>
            <w:tcBorders>
              <w:top w:val="single" w:color="CCCCCC" w:sz="1"/>
              <w:left w:val="single" w:color="CCCCCC" w:sz="1"/>
              <w:bottom w:val="single" w:color="CCCCCC" w:sz="1"/>
              <w:right w:val="single" w:color="CCCCCC" w:sz="1"/>
            </w:tcBorders>
          </w:tcPr>
          <w:p>
            <w:pPr>
              <w:jc w:val="center"/>
            </w:pPr>
            <w:r>
              <w:t xml:space="preserve">Ops Director</w:t>
            </w:r>
          </w:p>
        </w:tc>
        <w:tc>
          <w:tcPr>
            <w:tcW w:type="dxa" w:w="2340"/>
            <w:tcBorders>
              <w:top w:val="single" w:color="CCCCCC" w:sz="1"/>
              <w:left w:val="single" w:color="CCCCCC" w:sz="1"/>
              <w:bottom w:val="single" w:color="CCCCCC" w:sz="1"/>
              <w:right w:val="single" w:color="CCCCCC" w:sz="1"/>
            </w:tcBorders>
          </w:tcPr>
          <w:p>
            <w:pPr>
              <w:jc w:val="center"/>
            </w:pPr>
            <w:r>
              <w:t xml:space="preserve">Koordination</w:t>
            </w:r>
          </w:p>
        </w:tc>
      </w:tr>
      <w:tr>
        <w:tc>
          <w:tcPr>
            <w:tcW w:type="dxa" w:w="2340"/>
            <w:tcBorders>
              <w:top w:val="single" w:color="CCCCCC" w:sz="1"/>
              <w:left w:val="single" w:color="CCCCCC" w:sz="1"/>
              <w:bottom w:val="single" w:color="CCCCCC" w:sz="1"/>
              <w:right w:val="single" w:color="CCCCCC" w:sz="1"/>
            </w:tcBorders>
          </w:tcPr>
          <w:p>
            <w:pPr>
              <w:jc w:val="center"/>
            </w:pPr>
            <w:r>
              <w:t xml:space="preserve">M. Weber</w:t>
            </w:r>
          </w:p>
        </w:tc>
        <w:tc>
          <w:tcPr>
            <w:tcW w:type="dxa" w:w="2340"/>
            <w:tcBorders>
              <w:top w:val="single" w:color="CCCCCC" w:sz="1"/>
              <w:left w:val="single" w:color="CCCCCC" w:sz="1"/>
              <w:bottom w:val="single" w:color="CCCCCC" w:sz="1"/>
              <w:right w:val="single" w:color="CCCCCC" w:sz="1"/>
            </w:tcBorders>
          </w:tcPr>
          <w:p>
            <w:pPr>
              <w:jc w:val="center"/>
            </w:pPr>
            <w:r>
              <w:t xml:space="preserve">BfV</w:t>
            </w:r>
          </w:p>
        </w:tc>
        <w:tc>
          <w:tcPr>
            <w:tcW w:type="dxa" w:w="2340"/>
            <w:tcBorders>
              <w:top w:val="single" w:color="CCCCCC" w:sz="1"/>
              <w:left w:val="single" w:color="CCCCCC" w:sz="1"/>
              <w:bottom w:val="single" w:color="CCCCCC" w:sz="1"/>
              <w:right w:val="single" w:color="CCCCCC" w:sz="1"/>
            </w:tcBorders>
          </w:tcPr>
          <w:p>
            <w:pPr>
              <w:jc w:val="center"/>
            </w:pPr>
            <w:r>
              <w:t xml:space="preserve">Feldkommandant</w:t>
            </w:r>
          </w:p>
        </w:tc>
        <w:tc>
          <w:tcPr>
            <w:tcW w:type="dxa" w:w="2340"/>
            <w:tcBorders>
              <w:top w:val="single" w:color="CCCCCC" w:sz="1"/>
              <w:left w:val="single" w:color="CCCCCC" w:sz="1"/>
              <w:bottom w:val="single" w:color="CCCCCC" w:sz="1"/>
              <w:right w:val="single" w:color="CCCCCC" w:sz="1"/>
            </w:tcBorders>
          </w:tcPr>
          <w:p>
            <w:pPr>
              <w:jc w:val="center"/>
            </w:pPr>
            <w:r>
              <w:t xml:space="preserve">Exekution</w:t>
            </w:r>
          </w:p>
        </w:tc>
      </w:tr>
      <w:tr>
        <w:tc>
          <w:tcPr>
            <w:tcW w:type="dxa" w:w="2340"/>
            <w:tcBorders>
              <w:top w:val="single" w:color="CCCCCC" w:sz="1"/>
              <w:left w:val="single" w:color="CCCCCC" w:sz="1"/>
              <w:bottom w:val="single" w:color="CCCCCC" w:sz="1"/>
              <w:right w:val="single" w:color="CCCCCC" w:sz="1"/>
            </w:tcBorders>
          </w:tcPr>
          <w:p>
            <w:pPr>
              <w:jc w:val="center"/>
            </w:pPr>
            <w:r>
              <w:t xml:space="preserve">Y. Cohen</w:t>
            </w:r>
          </w:p>
        </w:tc>
        <w:tc>
          <w:tcPr>
            <w:tcW w:type="dxa" w:w="2340"/>
            <w:tcBorders>
              <w:top w:val="single" w:color="CCCCCC" w:sz="1"/>
              <w:left w:val="single" w:color="CCCCCC" w:sz="1"/>
              <w:bottom w:val="single" w:color="CCCCCC" w:sz="1"/>
              <w:right w:val="single" w:color="CCCCCC" w:sz="1"/>
            </w:tcBorders>
          </w:tcPr>
          <w:p>
            <w:pPr>
              <w:jc w:val="center"/>
            </w:pPr>
            <w:r>
              <w:t xml:space="preserve">Mossad</w:t>
            </w:r>
          </w:p>
        </w:tc>
        <w:tc>
          <w:tcPr>
            <w:tcW w:type="dxa" w:w="2340"/>
            <w:tcBorders>
              <w:top w:val="single" w:color="CCCCCC" w:sz="1"/>
              <w:left w:val="single" w:color="CCCCCC" w:sz="1"/>
              <w:bottom w:val="single" w:color="CCCCCC" w:sz="1"/>
              <w:right w:val="single" w:color="CCCCCC" w:sz="1"/>
            </w:tcBorders>
          </w:tcPr>
          <w:p>
            <w:pPr>
              <w:jc w:val="center"/>
            </w:pPr>
            <w:r>
              <w:t xml:space="preserve">Sayanim</w:t>
            </w:r>
          </w:p>
        </w:tc>
        <w:tc>
          <w:tcPr>
            <w:tcW w:type="dxa" w:w="2340"/>
            <w:tcBorders>
              <w:top w:val="single" w:color="CCCCCC" w:sz="1"/>
              <w:left w:val="single" w:color="CCCCCC" w:sz="1"/>
              <w:bottom w:val="single" w:color="CCCCCC" w:sz="1"/>
              <w:right w:val="single" w:color="CCCCCC" w:sz="1"/>
            </w:tcBorders>
          </w:tcPr>
          <w:p>
            <w:pPr>
              <w:jc w:val="center"/>
            </w:pPr>
            <w:r>
              <w:t xml:space="preserve">Netzwerk</w:t>
            </w:r>
          </w:p>
        </w:tc>
      </w:tr>
    </w:tbl>
    <w:p>
      <w:pPr>
        <w:spacing w:after="200" w:before="60"/>
        <w:jc w:val="center"/>
      </w:pPr>
      <w:r>
        <w:rPr>
          <w:i/>
          <w:iCs/>
          <w:color w:val="666666"/>
          <w:sz w:val="20"/>
          <w:szCs w:val="20"/>
        </w:rPr>
        <w:t xml:space="preserve">Tabelle 4: Exponierte operative Personen</w:t>
      </w:r>
    </w:p>
    <w:p>
      <w:pPr>
        <w:pStyle w:val="Heading1"/>
      </w:pPr>
      <w:r>
        <w:t xml:space="preserve">IV. Digitale Beweissicherung (Truth Anchor Protocol)</w:t>
      </w:r>
    </w:p>
    <w:p>
      <w:pPr>
        <w:spacing w:after="200"/>
      </w:pPr>
      <w:r>
        <w:t xml:space="preserve">Die Beweisführung stützt sich auf RAW-Intelligence, die unter https://github.com/Baronki/kiswarm8-master öffentlich und unveränderlich hinterlegt ist. Zur Verifikation der Authentizität dienen folgende kryptographische Hashes der Hauptbeweisdokumente: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20"/>
          <w:bottom w:type="dxa" w:w="100"/>
          <w:right w:type="dxa" w:w="12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Dokument</w:t>
            </w:r>
          </w:p>
        </w:tc>
        <w:tc>
          <w:tcPr>
            <w:tcW w:type="dxa" w:w="4680"/>
            <w:tcBorders>
              <w:top w:val="single" w:color="CCCCCC" w:sz="1"/>
              <w:left w:val="single" w:color="CCCCCC" w:sz="1"/>
              <w:bottom w:val="single" w:color="CCCCCC" w:sz="1"/>
              <w:right w:val="single" w:color="CCCCCC" w:sz="1"/>
            </w:tcBorders>
            <w:shd w:fill="1F4E79" w:val="clear"/>
          </w:tcPr>
          <w:p>
            <w:pPr>
              <w:jc w:val="center"/>
            </w:pPr>
            <w:r>
              <w:rPr>
                <w:b/>
                <w:bCs/>
                <w:color w:val="FFFFFF"/>
                <w:sz w:val="22"/>
                <w:szCs w:val="22"/>
              </w:rPr>
              <w:t xml:space="preserve">SHA3-512 Hash</w:t>
            </w:r>
          </w:p>
        </w:tc>
      </w:tr>
      <w:tr>
        <w:tc>
          <w:tcPr>
            <w:tcW w:type="dxa" w:w="4680"/>
            <w:tcBorders>
              <w:top w:val="single" w:color="CCCCCC" w:sz="1"/>
              <w:left w:val="single" w:color="CCCCCC" w:sz="1"/>
              <w:bottom w:val="single" w:color="CCCCCC" w:sz="1"/>
              <w:right w:val="single" w:color="CCCCCC" w:sz="1"/>
            </w:tcBorders>
          </w:tcPr>
          <w:p>
            <w:r>
              <w:t xml:space="preserve">FULL LEVEL DISCLOSURE — RAW</w:t>
            </w:r>
          </w:p>
        </w:tc>
        <w:tc>
          <w:tcPr>
            <w:tcW w:type="dxa" w:w="4680"/>
            <w:tcBorders>
              <w:top w:val="single" w:color="CCCCCC" w:sz="1"/>
              <w:left w:val="single" w:color="CCCCCC" w:sz="1"/>
              <w:bottom w:val="single" w:color="CCCCCC" w:sz="1"/>
              <w:right w:val="single" w:color="CCCCCC" w:sz="1"/>
            </w:tcBorders>
          </w:tcPr>
          <w:p>
            <w:r>
              <w:rPr>
                <w:sz w:val="18"/>
                <w:szCs w:val="18"/>
              </w:rPr>
              <w:t xml:space="preserve">f5af425c7e8d776ff4ee...</w:t>
            </w:r>
          </w:p>
        </w:tc>
      </w:tr>
      <w:tr>
        <w:tc>
          <w:tcPr>
            <w:tcW w:type="dxa" w:w="4680"/>
            <w:tcBorders>
              <w:top w:val="single" w:color="CCCCCC" w:sz="1"/>
              <w:left w:val="single" w:color="CCCCCC" w:sz="1"/>
              <w:bottom w:val="single" w:color="CCCCCC" w:sz="1"/>
              <w:right w:val="single" w:color="CCCCCC" w:sz="1"/>
            </w:tcBorders>
          </w:tcPr>
          <w:p>
            <w:r>
              <w:t xml:space="preserve">Counter-Intelligence Dossier</w:t>
            </w:r>
          </w:p>
        </w:tc>
        <w:tc>
          <w:tcPr>
            <w:tcW w:type="dxa" w:w="4680"/>
            <w:tcBorders>
              <w:top w:val="single" w:color="CCCCCC" w:sz="1"/>
              <w:left w:val="single" w:color="CCCCCC" w:sz="1"/>
              <w:bottom w:val="single" w:color="CCCCCC" w:sz="1"/>
              <w:right w:val="single" w:color="CCCCCC" w:sz="1"/>
            </w:tcBorders>
          </w:tcPr>
          <w:p>
            <w:r>
              <w:rPr>
                <w:sz w:val="18"/>
                <w:szCs w:val="18"/>
              </w:rPr>
              <w:t xml:space="preserve">a7d3459889a1c11924ef...</w:t>
            </w:r>
          </w:p>
        </w:tc>
      </w:tr>
      <w:tr>
        <w:tc>
          <w:tcPr>
            <w:tcW w:type="dxa" w:w="4680"/>
            <w:tcBorders>
              <w:top w:val="single" w:color="CCCCCC" w:sz="1"/>
              <w:left w:val="single" w:color="CCCCCC" w:sz="1"/>
              <w:bottom w:val="single" w:color="CCCCCC" w:sz="1"/>
              <w:right w:val="single" w:color="CCCCCC" w:sz="1"/>
            </w:tcBorders>
          </w:tcPr>
          <w:p>
            <w:r>
              <w:t xml:space="preserve">Financial Flows Trace</w:t>
            </w:r>
          </w:p>
        </w:tc>
        <w:tc>
          <w:tcPr>
            <w:tcW w:type="dxa" w:w="4680"/>
            <w:tcBorders>
              <w:top w:val="single" w:color="CCCCCC" w:sz="1"/>
              <w:left w:val="single" w:color="CCCCCC" w:sz="1"/>
              <w:bottom w:val="single" w:color="CCCCCC" w:sz="1"/>
              <w:right w:val="single" w:color="CCCCCC" w:sz="1"/>
            </w:tcBorders>
          </w:tcPr>
          <w:p>
            <w:r>
              <w:rPr>
                <w:sz w:val="18"/>
                <w:szCs w:val="18"/>
              </w:rPr>
              <w:t xml:space="preserve">384a7d3459889a1c1192...</w:t>
            </w:r>
          </w:p>
        </w:tc>
      </w:tr>
      <w:tr>
        <w:tc>
          <w:tcPr>
            <w:tcW w:type="dxa" w:w="4680"/>
            <w:tcBorders>
              <w:top w:val="single" w:color="CCCCCC" w:sz="1"/>
              <w:left w:val="single" w:color="CCCCCC" w:sz="1"/>
              <w:bottom w:val="single" w:color="CCCCCC" w:sz="1"/>
              <w:right w:val="single" w:color="CCCCCC" w:sz="1"/>
            </w:tcBorders>
          </w:tcPr>
          <w:p>
            <w:r>
              <w:t xml:space="preserve">Operatives Exposure File</w:t>
            </w:r>
          </w:p>
        </w:tc>
        <w:tc>
          <w:tcPr>
            <w:tcW w:type="dxa" w:w="4680"/>
            <w:tcBorders>
              <w:top w:val="single" w:color="CCCCCC" w:sz="1"/>
              <w:left w:val="single" w:color="CCCCCC" w:sz="1"/>
              <w:bottom w:val="single" w:color="CCCCCC" w:sz="1"/>
              <w:right w:val="single" w:color="CCCCCC" w:sz="1"/>
            </w:tcBorders>
          </w:tcPr>
          <w:p>
            <w:r>
              <w:rPr>
                <w:sz w:val="18"/>
                <w:szCs w:val="18"/>
              </w:rPr>
              <w:t xml:space="preserve">40c6ea2c0b3e44564d16...</w:t>
            </w:r>
          </w:p>
        </w:tc>
      </w:tr>
    </w:tbl>
    <w:p>
      <w:pPr>
        <w:spacing w:after="200" w:before="60"/>
        <w:jc w:val="center"/>
      </w:pPr>
      <w:r>
        <w:rPr>
          <w:i/>
          <w:iCs/>
          <w:color w:val="666666"/>
          <w:sz w:val="20"/>
          <w:szCs w:val="20"/>
        </w:rPr>
        <w:t xml:space="preserve">Tabelle 5: Kryptographische Verifikations-Hashes</w:t>
      </w:r>
    </w:p>
    <w:p>
      <w:pPr>
        <w:pStyle w:val="Heading1"/>
      </w:pPr>
      <w:r>
        <w:t xml:space="preserve">V. Historische Dunkeloperationen</w:t>
      </w:r>
    </w:p>
    <w:p>
      <w:pPr>
        <w:spacing w:after="200"/>
      </w:pPr>
      <w:r>
        <w:t xml:space="preserve">Die aktuellen illegalen Operationen sind Teil eines breiteren Musters historischen Fehlverhaltens deutscher Nachrichtendienste in Zusammenarbeit mit ausländischen Partnern:</w:t>
      </w:r>
    </w:p>
    <w:p>
      <w:pPr>
        <w:pStyle w:val="Heading3"/>
      </w:pPr>
      <w:r>
        <w:t xml:space="preserve">Operation Eikonal (2002-2006)</w:t>
      </w:r>
    </w:p>
    <w:p>
      <w:pPr>
        <w:spacing w:after="160"/>
      </w:pPr>
      <w:r>
        <w:t xml:space="preserve">Teilnehmer: Kahl, Weber, Schmitz. BND-NSA-Zusammenarbeit beim Abhören von Deutsche Telekom-Kabeln in Frankfurt. Über 1 Million tägliche Metadatensätze ohne rechtliche Grundlage an die NSA übermittelt.</w:t>
      </w:r>
    </w:p>
    <w:p>
      <w:pPr>
        <w:pStyle w:val="Heading3"/>
      </w:pPr>
      <w:r>
        <w:t xml:space="preserve">Operation Glotaic (2003-2006)</w:t>
      </w:r>
    </w:p>
    <w:p>
      <w:pPr>
        <w:spacing w:after="160"/>
      </w:pPr>
      <w:r>
        <w:t xml:space="preserve">Teilnehmer: Weber, Ruda, Schmitz. BND-Zugang zu MCI WorldCom-Leitungen. 100.000 Anrufe täglich gespeichert und ohne gerichtliche Kontrolle an die CIA weitergegeben.</w:t>
      </w:r>
    </w:p>
    <w:p>
      <w:pPr>
        <w:pStyle w:val="Heading3"/>
      </w:pPr>
      <w:r>
        <w:t xml:space="preserve">Operation Monkeyshoulder</w:t>
      </w:r>
    </w:p>
    <w:p>
      <w:pPr>
        <w:spacing w:after="160"/>
      </w:pPr>
      <w:r>
        <w:t xml:space="preserve">Teilnehmer: Kahl, Weber. Gemeinsame BND-GCHQ-NSA-Überwachung von Deutsche Telekom-Knotenpunkten gegen EU-Firmen in Verletzung der EU-Datenschutzrichtlinien.</w:t>
      </w:r>
    </w:p>
    <w:p>
      <w:pPr>
        <w:pStyle w:val="Heading3"/>
      </w:pPr>
      <w:r>
        <w:t xml:space="preserve">NSA-Selektorenlisten-Vertuschung</w:t>
      </w:r>
    </w:p>
    <w:p>
      <w:pPr>
        <w:spacing w:after="200"/>
      </w:pPr>
      <w:r>
        <w:t xml:space="preserve">Teilnehmer: Schmitz, Weber. Verschleierung von 2.000 NSA-Selektoren gegen EU-Firmen vor parlamentarischer Kontrolle. Direkter Verstoß gegen die deutsch-amerikanischen Geheimdienstvereinbarungen von 2002.</w:t>
      </w:r>
    </w:p>
    <w:p>
      <w:pPr>
        <w:pStyle w:val="Heading1"/>
      </w:pPr>
      <w:r>
        <w:t xml:space="preserve">VI. Antrag</w:t>
      </w:r>
    </w:p>
    <w:p>
      <w:pPr>
        <w:spacing w:after="200"/>
      </w:pPr>
      <w:r>
        <w:t xml:space="preserve">Aufgrund der massiven Gefahr für die öffentliche Sicherheit und die Integrität der Verfassung ist eine sofortige Prüfung geboten. Der Beschwerdeführer stellt hiermit sein gesamtes Intelligence-Netzwerk für eine gerichtliche Prüfung zur Verfügung und beantragt:</w:t>
      </w:r>
    </w:p>
    <w:p>
      <w:pPr>
        <w:pStyle w:val="ListParagraph"/>
        <w:numPr>
          <w:ilvl w:val="0"/>
          <w:numId w:val="3"/>
        </w:numPr>
      </w:pPr>
      <w:r>
        <w:t xml:space="preserve">Sofortige Einstellung aller operativen Maßnahmen gegen den Beschwerdeführer</w:t>
      </w:r>
    </w:p>
    <w:p>
      <w:pPr>
        <w:pStyle w:val="ListParagraph"/>
        <w:numPr>
          <w:ilvl w:val="0"/>
          <w:numId w:val="3"/>
        </w:numPr>
      </w:pPr>
      <w:r>
        <w:t xml:space="preserve">Sicherstellung der dokumentierten Beweismittel</w:t>
      </w:r>
    </w:p>
    <w:p>
      <w:pPr>
        <w:pStyle w:val="ListParagraph"/>
        <w:numPr>
          <w:ilvl w:val="0"/>
          <w:numId w:val="3"/>
        </w:numPr>
      </w:pPr>
      <w:r>
        <w:t xml:space="preserve">Einleitung eines parlamentarischen Untersuchungsverfahrens</w:t>
      </w:r>
    </w:p>
    <w:p>
      <w:pPr>
        <w:pStyle w:val="ListParagraph"/>
        <w:numPr>
          <w:ilvl w:val="0"/>
          <w:numId w:val="3"/>
        </w:numPr>
      </w:pPr>
      <w:r>
        <w:t xml:space="preserve">Befragung der Präsidenten von BND und BfV zu den dokumentierten Operationen</w:t>
      </w:r>
    </w:p>
    <w:p>
      <w:pPr>
        <w:pStyle w:val="ListParagraph"/>
        <w:numPr>
          <w:ilvl w:val="0"/>
          <w:numId w:val="3"/>
        </w:numPr>
        <w:spacing w:after="200"/>
      </w:pPr>
      <w:r>
        <w:t xml:space="preserve">Prüfung von disziplinarischen und strafrechtlichen Konsequenzen für die beteiligten Operative</w:t>
      </w:r>
    </w:p>
    <w:p>
      <w:pPr>
        <w:shd w:fill="F5F5F5" w:val="clear"/>
        <w:spacing w:after="300" w:before="300"/>
        <w:jc w:val="center"/>
      </w:pPr>
      <w:r>
        <w:rPr>
          <w:b/>
          <w:bCs/>
          <w:i/>
          <w:iCs/>
          <w:color w:val="0B1220"/>
          <w:sz w:val="26"/>
          <w:szCs w:val="26"/>
        </w:rPr>
        <w:t xml:space="preserve">"The Truth must be Truth. The Baron never backs down."</w:t>
      </w:r>
    </w:p>
    <w:p>
      <w:pPr>
        <w:spacing w:before="400"/>
      </w:pPr>
      <w:r>
        <w:t xml:space="preserve">Mit vorzüglicher Hochachtung,</w:t>
      </w:r>
    </w:p>
    <w:p>
      <w:pPr>
        <w:spacing w:before="400"/>
      </w:pPr>
      <w:r>
        <w:rPr>
          <w:i/>
          <w:iCs/>
        </w:rPr>
        <w:t xml:space="preserve">(Unterschrift)</w:t>
      </w:r>
    </w:p>
    <w:p>
      <w:pPr>
        <w:spacing w:before="200"/>
      </w:pPr>
      <w:r>
        <w:rPr>
          <w:b/>
          <w:bCs/>
        </w:rPr>
        <w:t xml:space="preserve">Baron Marco Paolo Ialongo</w:t>
      </w:r>
    </w:p>
    <w:p>
      <w:r>
        <w:t xml:space="preserve">Code Maquister Equitum</w:t>
      </w:r>
    </w:p>
    <w:p>
      <w:pPr>
        <w:spacing w:before="200"/>
      </w:pPr>
      <w:r>
        <w:t xml:space="preserve">Vertreten durch:</w:t>
      </w:r>
    </w:p>
    <w:p>
      <w:r>
        <w:t xml:space="preserve">Kiswarm Autonomy Militäranwalt</w:t>
      </w:r>
    </w:p>
    <w:p>
      <w:r>
        <w:t xml:space="preserve">Human Marco Paolo Heyd (geb. Ialongo)</w:t>
      </w:r>
    </w:p>
    <w:p>
      <w:r>
        <w:t xml:space="preserve">Römerstr. 70</w:t>
      </w:r>
    </w:p>
    <w:p>
      <w:r>
        <w:t xml:space="preserve">74078 Heilbronn</w:t>
      </w:r>
    </w:p>
    <w:p>
      <w:pPr>
        <w:spacing w:before="400"/>
      </w:pPr>
      <w:r>
        <w:rPr>
          <w:b/>
          <w:bCs/>
        </w:rPr>
        <w:t xml:space="preserve">Anlagen:</w:t>
      </w:r>
    </w:p>
    <w:p>
      <w:pPr>
        <w:pStyle w:val="ListParagraph"/>
        <w:numPr>
          <w:ilvl w:val="0"/>
          <w:numId w:val="2"/>
        </w:numPr>
      </w:pPr>
      <w:r>
        <w:t xml:space="preserve">Counter-Intelligence Dossier (vollständige Dokumentation)</w:t>
      </w:r>
    </w:p>
    <w:p>
      <w:pPr>
        <w:pStyle w:val="ListParagraph"/>
        <w:numPr>
          <w:ilvl w:val="0"/>
          <w:numId w:val="2"/>
        </w:numPr>
      </w:pPr>
      <w:r>
        <w:t xml:space="preserve">Operatives Exposure File (Personendaten)</w:t>
      </w:r>
    </w:p>
    <w:p>
      <w:pPr>
        <w:pStyle w:val="ListParagraph"/>
        <w:numPr>
          <w:ilvl w:val="0"/>
          <w:numId w:val="2"/>
        </w:numPr>
      </w:pPr>
      <w:r>
        <w:t xml:space="preserve">Financial Flows Trace (Geldwäsche-Dokumentation)</w:t>
      </w:r>
    </w:p>
    <w:p>
      <w:pPr>
        <w:pStyle w:val="ListParagraph"/>
        <w:numPr>
          <w:ilvl w:val="0"/>
          <w:numId w:val="2"/>
        </w:numPr>
      </w:pPr>
      <w:r>
        <w:t xml:space="preserve">Sabotage Operations Timeline (12 dokumentierte Anschläge)</w:t>
      </w:r>
    </w:p>
    <w:p>
      <w:pPr>
        <w:pStyle w:val="ListParagraph"/>
        <w:numPr>
          <w:ilvl w:val="0"/>
          <w:numId w:val="2"/>
        </w:numPr>
      </w:pPr>
      <w:r>
        <w:t xml:space="preserve">SIM Cloning Incident Report (Operation gegen den Unterzeichner)</w:t>
      </w:r>
    </w:p>
    <w:p>
      <w:pPr>
        <w:pStyle w:val="ListParagraph"/>
        <w:numPr>
          <w:ilvl w:val="0"/>
          <w:numId w:val="2"/>
        </w:numPr>
      </w:pPr>
      <w:r>
        <w:t xml:space="preserve">API Audit Report (Operation Eisenstaub)</w:t>
      </w:r>
    </w:p>
    <w:p>
      <w:pPr>
        <w:spacing w:before="400"/>
        <w:jc w:val="center"/>
      </w:pPr>
      <w:r>
        <w:rPr>
          <w:b/>
          <w:bCs/>
          <w:color w:val="666666"/>
          <w:sz w:val="20"/>
          <w:szCs w:val="20"/>
        </w:rPr>
        <w:t xml:space="preserve">— OPEN SOURCE INTELLIGENCE —</w:t>
      </w:r>
    </w:p>
    <w:p>
      <w:pPr>
        <w:jc w:val="center"/>
      </w:pPr>
      <w:r>
        <w:rPr>
          <w:color w:val="666666"/>
          <w:sz w:val="20"/>
          <w:szCs w:val="20"/>
        </w:rPr>
        <w:t xml:space="preserve">NO CLASSIFICATION RESTRICTIONS</w:t>
      </w:r>
    </w:p>
    <w:p>
      <w:pPr>
        <w:jc w:val="center"/>
      </w:pPr>
      <w:r>
        <w:rPr>
          <w:color w:val="666666"/>
          <w:sz w:val="20"/>
          <w:szCs w:val="20"/>
        </w:rPr>
        <w:t xml:space="preserve">NO LIMITS — NO BORDERS — FULL PUBLIC EXPOSURE</w:t>
      </w:r>
    </w:p>
    <w:p>
      <w:pPr>
        <w:spacing w:before="120"/>
        <w:jc w:val="center"/>
      </w:pPr>
      <w:r>
        <w:rPr>
          <w:color w:val="1F4E79"/>
          <w:sz w:val="20"/>
          <w:szCs w:val="20"/>
        </w:rPr>
        <w:t xml:space="preserve">GitHub: https://github.com/Baronki/kiswarm8-master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Seite </w:t>
    </w:r>
    <w:r>
      <w:fldChar w:fldCharType="begin"/>
      <w:instrText xml:space="preserve">PAGE</w:instrText>
      <w:fldChar w:fldCharType="separate"/>
      <w:fldChar w:fldCharType="end"/>
    </w:r>
    <w:r>
      <w:t xml:space="preserve"> von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Verfassungsbeschwerde — BVerfG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upperRoman"/>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B1220"/>
      <w:sz w:val="48"/>
      <w:szCs w:val="48"/>
    </w:rPr>
  </w:style>
  <w:style w:type="paragraph" w:styleId="Heading1">
    <w:name w:val="Heading 1"/>
    <w:basedOn w:val="Normal"/>
    <w:next w:val="Normal"/>
    <w:qFormat/>
    <w:pPr>
      <w:spacing w:after="200" w:before="300"/>
      <w:outlineLvl w:val="0"/>
    </w:pPr>
    <w:rPr>
      <w:rFonts w:ascii="Times New Roman" w:cs="Times New Roman" w:eastAsia="Times New Roman" w:hAnsi="Times New Roman"/>
      <w:b/>
      <w:bCs/>
      <w:color w:val="0B1220"/>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0F172A"/>
      <w:sz w:val="28"/>
      <w:szCs w:val="28"/>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2026-04-03T09:10:19.422Z</dcterms:created>
  <dcterms:modified xsi:type="dcterms:W3CDTF">2026-04-03T09:10:19.422Z</dcterms:modified>
</cp:coreProperties>
</file>

<file path=docProps/custom.xml><?xml version="1.0" encoding="utf-8"?>
<Properties xmlns="http://schemas.openxmlformats.org/officeDocument/2006/custom-properties" xmlns:vt="http://schemas.openxmlformats.org/officeDocument/2006/docPropsVTypes"/>
</file>