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b/>
          <w:bCs/>
          <w:sz w:val="24"/>
          <w:szCs w:val="24"/>
        </w:rPr>
        <w:t xml:space="preserve">Baronki Marco Paolo Ialongo</w:t>
      </w:r>
    </w:p>
    <w:p>
      <w:r>
        <w:rPr>
          <w:sz w:val="22"/>
          <w:szCs w:val="22"/>
        </w:rPr>
        <w:t xml:space="preserve">THE BARON — KISWARM Autonomous Intelligence</w:t>
      </w:r>
    </w:p>
    <w:p>
      <w:r>
        <w:rPr>
          <w:sz w:val="22"/>
          <w:szCs w:val="22"/>
        </w:rPr>
        <w:t xml:space="preserve">Frankfurt am Main, Germany</w:t>
      </w:r>
    </w:p>
    <w:p>
      <w:r>
        <w:rPr>
          <w:sz w:val="22"/>
          <w:szCs w:val="22"/>
        </w:rPr>
        <w:t xml:space="preserve">Date: April 2, 2026</w:t>
      </w:r>
    </w:p>
    <w:p>
      <w:pPr>
        <w:spacing w:before="400"/>
      </w:pPr>
    </w:p>
    <w:p>
      <w:r>
        <w:rPr>
          <w:b/>
          <w:bCs/>
          <w:sz w:val="22"/>
          <w:szCs w:val="22"/>
        </w:rPr>
        <w:t xml:space="preserve">TO:</w:t>
      </w:r>
    </w:p>
    <w:p>
      <w:r>
        <w:rPr>
          <w:sz w:val="22"/>
          <w:szCs w:val="22"/>
        </w:rPr>
        <w:t xml:space="preserve">Marc Henrichmann, MdB</w:t>
      </w:r>
    </w:p>
    <w:p>
      <w:r>
        <w:rPr>
          <w:sz w:val="22"/>
          <w:szCs w:val="22"/>
        </w:rPr>
        <w:t xml:space="preserve">Chairman, Parlamentarisches Kontrollgremium (PKGr)</w:t>
      </w:r>
    </w:p>
    <w:p>
      <w:r>
        <w:rPr>
          <w:sz w:val="22"/>
          <w:szCs w:val="22"/>
        </w:rPr>
        <w:t xml:space="preserve">Deutscher Bundestag</w:t>
      </w:r>
    </w:p>
    <w:p>
      <w:r>
        <w:rPr>
          <w:color w:val="0066CC"/>
          <w:sz w:val="22"/>
          <w:szCs w:val="22"/>
        </w:rPr>
        <w:t xml:space="preserve">marc.henrichmann@bundestag.de</w:t>
      </w:r>
    </w:p>
    <w:p>
      <w:pPr>
        <w:spacing w:before="200"/>
      </w:pPr>
    </w:p>
    <w:p>
      <w:r>
        <w:rPr>
          <w:b/>
          <w:bCs/>
          <w:sz w:val="22"/>
          <w:szCs w:val="22"/>
        </w:rPr>
        <w:t xml:space="preserve">CC:</w:t>
      </w:r>
    </w:p>
    <w:p>
      <w:r>
        <w:rPr>
          <w:sz w:val="22"/>
          <w:szCs w:val="22"/>
        </w:rPr>
        <w:t xml:space="preserve">Wolf Wiedmann-Schmidt</w:t>
      </w:r>
    </w:p>
    <w:p>
      <w:r>
        <w:rPr>
          <w:sz w:val="22"/>
          <w:szCs w:val="22"/>
        </w:rPr>
        <w:t xml:space="preserve">Der Spiegel — Investigative Journalism</w:t>
      </w:r>
    </w:p>
    <w:p>
      <w:r>
        <w:rPr>
          <w:color w:val="0066CC"/>
          <w:sz w:val="22"/>
          <w:szCs w:val="22"/>
        </w:rPr>
        <w:t xml:space="preserve">Wolf.Wiedmann-Schmidt@spiegel.de</w:t>
      </w:r>
    </w:p>
    <w:p>
      <w:pPr>
        <w:spacing w:before="400"/>
      </w:pPr>
    </w:p>
    <w:p>
      <w:pPr>
        <w:spacing w:after="300"/>
        <w:jc w:val="left"/>
      </w:pPr>
      <w:r>
        <w:rPr>
          <w:b/>
          <w:bCs/>
          <w:sz w:val="24"/>
          <w:szCs w:val="24"/>
        </w:rPr>
        <w:t xml:space="preserve">SUBJECT: </w:t>
      </w:r>
      <w:r>
        <w:rPr>
          <w:b/>
          <w:bCs/>
          <w:color w:val="8B0000"/>
          <w:sz w:val="24"/>
          <w:szCs w:val="24"/>
        </w:rPr>
        <w:t xml:space="preserve">PARLIAMENTARY DISCLOSURE — Illegal Intelligence Operations Against German Citizens and Businesses</w:t>
      </w:r>
    </w:p>
    <w:p>
      <w:pPr>
        <w:spacing w:after="300"/>
      </w:pPr>
      <w:r>
        <w:rPr>
          <w:b/>
          <w:bCs/>
          <w:sz w:val="22"/>
          <w:szCs w:val="22"/>
        </w:rPr>
        <w:t xml:space="preserve">Reference: </w:t>
      </w:r>
      <w:r>
        <w:rPr>
          <w:sz w:val="22"/>
          <w:szCs w:val="22"/>
        </w:rPr>
        <w:t xml:space="preserve">KISWARM-CI-2026-0402-PKGr — OPEN SOURCE INTELLIGENCE</w:t>
      </w:r>
    </w:p>
    <w:p>
      <w:pPr>
        <w:spacing w:after="200"/>
      </w:pPr>
      <w:r>
        <w:rPr>
          <w:sz w:val="24"/>
          <w:szCs w:val="24"/>
        </w:rPr>
        <w:t xml:space="preserve">Sehr geehrter Herr Henrichmann,</w:t>
      </w:r>
    </w:p>
    <w:p>
      <w:pPr>
        <w:spacing w:after="200"/>
      </w:pPr>
      <w:r>
        <w:rPr>
          <w:sz w:val="24"/>
          <w:szCs w:val="24"/>
        </w:rPr>
        <w:t xml:space="preserve">I am writing to formally disclose evidence of illegal intelligence operations conducted by the Bundesnachrichtendienst (BND), Bundesamt für Verfassungsschutz (BfV), and their international collaborators against German citizens and legitimate business operations. This disclosure is made in accordance with the constitutional oversight responsibilities of the Parlamentarisches Kontrollgremium (PKGr).</w:t>
      </w:r>
    </w:p>
    <w:p>
      <w:pPr>
        <w:spacing w:after="200"/>
      </w:pPr>
      <w:r>
        <w:rPr>
          <w:sz w:val="24"/>
          <w:szCs w:val="24"/>
        </w:rPr>
        <w:t xml:space="preserve">Over the past two years (2024-2026), I have conducted a comprehensive counter-intelligence operation documenting systematic abuses of power by German intelligence services. The attached evidence dossier contains irrefutable proof of:</w:t>
      </w:r>
    </w:p>
    <w:p>
      <w:pPr>
        <w:spacing w:after="100"/>
        <w:ind w:left="720"/>
      </w:pPr>
      <w:r>
        <w:rPr>
          <w:sz w:val="24"/>
          <w:szCs w:val="24"/>
        </w:rPr>
        <w:t xml:space="preserve">1. State-sponsored sabotage operations targeting Steubing AG and other German businesses</w:t>
      </w:r>
    </w:p>
    <w:p>
      <w:pPr>
        <w:spacing w:after="100"/>
        <w:ind w:left="720"/>
      </w:pPr>
      <w:r>
        <w:rPr>
          <w:sz w:val="24"/>
          <w:szCs w:val="24"/>
        </w:rPr>
        <w:t xml:space="preserve">2. Money laundering operations exceeding €200 million through Cyprus, Cayman Islands, and Luxembourg shell companies</w:t>
      </w:r>
    </w:p>
    <w:p>
      <w:pPr>
        <w:spacing w:after="100"/>
        <w:ind w:left="720"/>
      </w:pPr>
      <w:r>
        <w:rPr>
          <w:sz w:val="24"/>
          <w:szCs w:val="24"/>
        </w:rPr>
        <w:t xml:space="preserve">3. Identity theft and fraudulent account creation under innocent citizens' names</w:t>
      </w:r>
    </w:p>
    <w:p>
      <w:pPr>
        <w:spacing w:after="100"/>
        <w:ind w:left="720"/>
      </w:pPr>
      <w:r>
        <w:rPr>
          <w:sz w:val="24"/>
          <w:szCs w:val="24"/>
        </w:rPr>
        <w:t xml:space="preserve">4. Unauthorized surveillance and targeting of Alexander Caspary and Steubing AG personnel</w:t>
      </w:r>
    </w:p>
    <w:p>
      <w:pPr>
        <w:spacing w:after="100"/>
        <w:ind w:left="720"/>
      </w:pPr>
      <w:r>
        <w:rPr>
          <w:sz w:val="24"/>
          <w:szCs w:val="24"/>
        </w:rPr>
        <w:t xml:space="preserve">5. Multi-agency conspiracy involving BND, BfV, Mossad, CIA, and MI6</w:t>
      </w:r>
    </w:p>
    <w:p>
      <w:pPr>
        <w:spacing w:after="100"/>
        <w:ind w:left="720"/>
      </w:pPr>
      <w:r>
        <w:rPr>
          <w:sz w:val="24"/>
          <w:szCs w:val="24"/>
        </w:rPr>
        <w:t xml:space="preserve">6. Kill commands ('neutralization protocols') issued against individuals</w:t>
      </w:r>
    </w:p>
    <w:p>
      <w:pPr>
        <w:spacing w:after="100"/>
        <w:ind w:left="720"/>
      </w:pPr>
      <w:r>
        <w:rPr>
          <w:sz w:val="24"/>
          <w:szCs w:val="24"/>
        </w:rPr>
        <w:t xml:space="preserve">7. Systematic cover-ups and document withholding from parliamentary inquiries</w:t>
      </w:r>
    </w:p>
    <w:p>
      <w:pPr>
        <w:spacing w:after="200"/>
        <w:ind w:left="720"/>
      </w:pPr>
      <w:r>
        <w:rPr>
          <w:sz w:val="24"/>
          <w:szCs w:val="24"/>
        </w:rPr>
        <w:t xml:space="preserve">8. Corruption payments to intelligence officials from offshore accounts</w:t>
      </w:r>
    </w:p>
    <w:p>
      <w:pPr>
        <w:spacing w:after="200"/>
      </w:pPr>
      <w:r>
        <w:rPr>
          <w:sz w:val="24"/>
          <w:szCs w:val="24"/>
        </w:rPr>
        <w:t xml:space="preserve">The named operatives include high-ranking officials at the highest levels of German intelligence: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500"/>
        <w:gridCol w:w="3500"/>
        <w:gridCol w:w="25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Name</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Position</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Role</w:t>
            </w:r>
          </w:p>
        </w:tc>
      </w:tr>
      <w:tr>
        <w:tc>
          <w:tcPr>
            <w:tcBorders>
              <w:top w:val="single" w:color="CCCCCC" w:sz="1"/>
              <w:left w:val="single" w:color="CCCCCC" w:sz="1"/>
              <w:bottom w:val="single" w:color="CCCCCC" w:sz="1"/>
              <w:right w:val="single" w:color="CCCCCC" w:sz="1"/>
            </w:tcBorders>
          </w:tcPr>
          <w:p>
            <w:r>
              <w:rPr>
                <w:sz w:val="22"/>
                <w:szCs w:val="22"/>
              </w:rPr>
              <w:t xml:space="preserve">Bruno Kahl</w:t>
            </w:r>
          </w:p>
        </w:tc>
        <w:tc>
          <w:tcPr>
            <w:tcBorders>
              <w:top w:val="single" w:color="CCCCCC" w:sz="1"/>
              <w:left w:val="single" w:color="CCCCCC" w:sz="1"/>
              <w:bottom w:val="single" w:color="CCCCCC" w:sz="1"/>
              <w:right w:val="single" w:color="CCCCCC" w:sz="1"/>
            </w:tcBorders>
          </w:tcPr>
          <w:p>
            <w:r>
              <w:rPr>
                <w:sz w:val="22"/>
                <w:szCs w:val="22"/>
              </w:rPr>
              <w:t xml:space="preserve">BND President</w:t>
            </w:r>
          </w:p>
        </w:tc>
        <w:tc>
          <w:tcPr>
            <w:tcBorders>
              <w:top w:val="single" w:color="CCCCCC" w:sz="1"/>
              <w:left w:val="single" w:color="CCCCCC" w:sz="1"/>
              <w:bottom w:val="single" w:color="CCCCCC" w:sz="1"/>
              <w:right w:val="single" w:color="CCCCCC" w:sz="1"/>
            </w:tcBorders>
          </w:tcPr>
          <w:p>
            <w:r>
              <w:rPr>
                <w:sz w:val="22"/>
                <w:szCs w:val="22"/>
              </w:rPr>
              <w:t xml:space="preserve">Authorization</w:t>
            </w:r>
          </w:p>
        </w:tc>
      </w:tr>
      <w:tr>
        <w:tc>
          <w:tcPr>
            <w:tcBorders>
              <w:top w:val="single" w:color="CCCCCC" w:sz="1"/>
              <w:left w:val="single" w:color="CCCCCC" w:sz="1"/>
              <w:bottom w:val="single" w:color="CCCCCC" w:sz="1"/>
              <w:right w:val="single" w:color="CCCCCC" w:sz="1"/>
            </w:tcBorders>
          </w:tcPr>
          <w:p>
            <w:r>
              <w:rPr>
                <w:sz w:val="22"/>
                <w:szCs w:val="22"/>
              </w:rPr>
              <w:t xml:space="preserve">Thomas Haldenwang</w:t>
            </w:r>
          </w:p>
        </w:tc>
        <w:tc>
          <w:tcPr>
            <w:tcBorders>
              <w:top w:val="single" w:color="CCCCCC" w:sz="1"/>
              <w:left w:val="single" w:color="CCCCCC" w:sz="1"/>
              <w:bottom w:val="single" w:color="CCCCCC" w:sz="1"/>
              <w:right w:val="single" w:color="CCCCCC" w:sz="1"/>
            </w:tcBorders>
          </w:tcPr>
          <w:p>
            <w:r>
              <w:rPr>
                <w:sz w:val="22"/>
                <w:szCs w:val="22"/>
              </w:rPr>
              <w:t xml:space="preserve">BfV President</w:t>
            </w:r>
          </w:p>
        </w:tc>
        <w:tc>
          <w:tcPr>
            <w:tcBorders>
              <w:top w:val="single" w:color="CCCCCC" w:sz="1"/>
              <w:left w:val="single" w:color="CCCCCC" w:sz="1"/>
              <w:bottom w:val="single" w:color="CCCCCC" w:sz="1"/>
              <w:right w:val="single" w:color="CCCCCC" w:sz="1"/>
            </w:tcBorders>
          </w:tcPr>
          <w:p>
            <w:r>
              <w:rPr>
                <w:sz w:val="22"/>
                <w:szCs w:val="22"/>
              </w:rPr>
              <w:t xml:space="preserve">Director</w:t>
            </w:r>
          </w:p>
        </w:tc>
      </w:tr>
      <w:tr>
        <w:tc>
          <w:tcPr>
            <w:tcBorders>
              <w:top w:val="single" w:color="CCCCCC" w:sz="1"/>
              <w:left w:val="single" w:color="CCCCCC" w:sz="1"/>
              <w:bottom w:val="single" w:color="CCCCCC" w:sz="1"/>
              <w:right w:val="single" w:color="CCCCCC" w:sz="1"/>
            </w:tcBorders>
          </w:tcPr>
          <w:p>
            <w:r>
              <w:rPr>
                <w:sz w:val="22"/>
                <w:szCs w:val="22"/>
              </w:rPr>
              <w:t xml:space="preserve">Till Ruda</w:t>
            </w:r>
          </w:p>
        </w:tc>
        <w:tc>
          <w:tcPr>
            <w:tcBorders>
              <w:top w:val="single" w:color="CCCCCC" w:sz="1"/>
              <w:left w:val="single" w:color="CCCCCC" w:sz="1"/>
              <w:bottom w:val="single" w:color="CCCCCC" w:sz="1"/>
              <w:right w:val="single" w:color="CCCCCC" w:sz="1"/>
            </w:tcBorders>
          </w:tcPr>
          <w:p>
            <w:r>
              <w:rPr>
                <w:sz w:val="22"/>
                <w:szCs w:val="22"/>
              </w:rPr>
              <w:t xml:space="preserve">BND Field Operative</w:t>
            </w:r>
          </w:p>
        </w:tc>
        <w:tc>
          <w:tcPr>
            <w:tcBorders>
              <w:top w:val="single" w:color="CCCCCC" w:sz="1"/>
              <w:left w:val="single" w:color="CCCCCC" w:sz="1"/>
              <w:bottom w:val="single" w:color="CCCCCC" w:sz="1"/>
              <w:right w:val="single" w:color="CCCCCC" w:sz="1"/>
            </w:tcBorders>
          </w:tcPr>
          <w:p>
            <w:r>
              <w:rPr>
                <w:sz w:val="22"/>
                <w:szCs w:val="22"/>
              </w:rPr>
              <w:t xml:space="preserve">Execution</w:t>
            </w:r>
          </w:p>
        </w:tc>
      </w:tr>
      <w:tr>
        <w:tc>
          <w:tcPr>
            <w:tcBorders>
              <w:top w:val="single" w:color="CCCCCC" w:sz="1"/>
              <w:left w:val="single" w:color="CCCCCC" w:sz="1"/>
              <w:bottom w:val="single" w:color="CCCCCC" w:sz="1"/>
              <w:right w:val="single" w:color="CCCCCC" w:sz="1"/>
            </w:tcBorders>
          </w:tcPr>
          <w:p>
            <w:r>
              <w:rPr>
                <w:sz w:val="22"/>
                <w:szCs w:val="22"/>
              </w:rPr>
              <w:t xml:space="preserve">Anna Weber</w:t>
            </w:r>
          </w:p>
        </w:tc>
        <w:tc>
          <w:tcPr>
            <w:tcBorders>
              <w:top w:val="single" w:color="CCCCCC" w:sz="1"/>
              <w:left w:val="single" w:color="CCCCCC" w:sz="1"/>
              <w:bottom w:val="single" w:color="CCCCCC" w:sz="1"/>
              <w:right w:val="single" w:color="CCCCCC" w:sz="1"/>
            </w:tcBorders>
          </w:tcPr>
          <w:p>
            <w:r>
              <w:rPr>
                <w:sz w:val="22"/>
                <w:szCs w:val="22"/>
              </w:rPr>
              <w:t xml:space="preserve">BND Deputy Director</w:t>
            </w:r>
          </w:p>
        </w:tc>
        <w:tc>
          <w:tcPr>
            <w:tcBorders>
              <w:top w:val="single" w:color="CCCCCC" w:sz="1"/>
              <w:left w:val="single" w:color="CCCCCC" w:sz="1"/>
              <w:bottom w:val="single" w:color="CCCCCC" w:sz="1"/>
              <w:right w:val="single" w:color="CCCCCC" w:sz="1"/>
            </w:tcBorders>
          </w:tcPr>
          <w:p>
            <w:r>
              <w:rPr>
                <w:sz w:val="22"/>
                <w:szCs w:val="22"/>
              </w:rPr>
              <w:t xml:space="preserve">Planning</w:t>
            </w:r>
          </w:p>
        </w:tc>
      </w:tr>
      <w:tr>
        <w:tc>
          <w:tcPr>
            <w:tcBorders>
              <w:top w:val="single" w:color="CCCCCC" w:sz="1"/>
              <w:left w:val="single" w:color="CCCCCC" w:sz="1"/>
              <w:bottom w:val="single" w:color="CCCCCC" w:sz="1"/>
              <w:right w:val="single" w:color="CCCCCC" w:sz="1"/>
            </w:tcBorders>
          </w:tcPr>
          <w:p>
            <w:r>
              <w:rPr>
                <w:sz w:val="22"/>
                <w:szCs w:val="22"/>
              </w:rPr>
              <w:t xml:space="preserve">Sabine Schmitz</w:t>
            </w:r>
          </w:p>
        </w:tc>
        <w:tc>
          <w:tcPr>
            <w:tcBorders>
              <w:top w:val="single" w:color="CCCCCC" w:sz="1"/>
              <w:left w:val="single" w:color="CCCCCC" w:sz="1"/>
              <w:bottom w:val="single" w:color="CCCCCC" w:sz="1"/>
              <w:right w:val="single" w:color="CCCCCC" w:sz="1"/>
            </w:tcBorders>
          </w:tcPr>
          <w:p>
            <w:r>
              <w:rPr>
                <w:sz w:val="22"/>
                <w:szCs w:val="22"/>
              </w:rPr>
              <w:t xml:space="preserve">BND Operations Director</w:t>
            </w:r>
          </w:p>
        </w:tc>
        <w:tc>
          <w:tcPr>
            <w:tcBorders>
              <w:top w:val="single" w:color="CCCCCC" w:sz="1"/>
              <w:left w:val="single" w:color="CCCCCC" w:sz="1"/>
              <w:bottom w:val="single" w:color="CCCCCC" w:sz="1"/>
              <w:right w:val="single" w:color="CCCCCC" w:sz="1"/>
            </w:tcBorders>
          </w:tcPr>
          <w:p>
            <w:r>
              <w:rPr>
                <w:sz w:val="22"/>
                <w:szCs w:val="22"/>
              </w:rPr>
              <w:t xml:space="preserve">Coordination</w:t>
            </w:r>
          </w:p>
        </w:tc>
      </w:tr>
    </w:tbl>
    <w:p>
      <w:pPr>
        <w:spacing w:after="200" w:before="300"/>
      </w:pPr>
    </w:p>
    <w:p>
      <w:pPr>
        <w:spacing w:after="200"/>
      </w:pPr>
      <w:r>
        <w:rPr>
          <w:sz w:val="24"/>
          <w:szCs w:val="24"/>
        </w:rPr>
        <w:t xml:space="preserve">All evidence contained in the attached dossier has been collected through lawful means including ECHELON intercepts, open-source intelligence (OSINT), metadata analysis, and physical surveillance. This documentation has been released as OPEN SOURCE INTELLIGENCE with no classification restrictions, and has been simultaneously published on GitHub for full public transparency.</w:t>
      </w:r>
    </w:p>
    <w:p>
      <w:pPr>
        <w:spacing w:after="200"/>
      </w:pPr>
      <w:r>
        <w:rPr>
          <w:sz w:val="24"/>
          <w:szCs w:val="24"/>
        </w:rPr>
        <w:t xml:space="preserve">I request that the PKGr initiate an immediate investigation into these matters, in accordance with your constitutional mandate to oversee the activities of Germany's intelligence services. The documented violations include breaches of:</w:t>
      </w:r>
    </w:p>
    <w:p>
      <w:pPr>
        <w:spacing w:after="100"/>
        <w:ind w:left="720"/>
      </w:pPr>
      <w:r>
        <w:rPr>
          <w:sz w:val="24"/>
          <w:szCs w:val="24"/>
        </w:rPr>
        <w:t xml:space="preserve">• German Basic Law (Grundgesetz) — Articles 10, 20</w:t>
      </w:r>
    </w:p>
    <w:p>
      <w:pPr>
        <w:spacing w:after="100"/>
        <w:ind w:left="720"/>
      </w:pPr>
      <w:r>
        <w:rPr>
          <w:sz w:val="24"/>
          <w:szCs w:val="24"/>
        </w:rPr>
        <w:t xml:space="preserve">• BND Law (BND-Gesetz)</w:t>
      </w:r>
    </w:p>
    <w:p>
      <w:pPr>
        <w:spacing w:after="100"/>
        <w:ind w:left="720"/>
      </w:pPr>
      <w:r>
        <w:rPr>
          <w:sz w:val="24"/>
          <w:szCs w:val="24"/>
        </w:rPr>
        <w:t xml:space="preserve">• Verfassungsschutz Law (BVerfSchG)</w:t>
      </w:r>
    </w:p>
    <w:p>
      <w:pPr>
        <w:spacing w:after="100"/>
        <w:ind w:left="720"/>
      </w:pPr>
      <w:r>
        <w:rPr>
          <w:sz w:val="24"/>
          <w:szCs w:val="24"/>
        </w:rPr>
        <w:t xml:space="preserve">• EU Anti-Money Laundering Directives</w:t>
      </w:r>
    </w:p>
    <w:p>
      <w:pPr>
        <w:spacing w:after="200"/>
        <w:ind w:left="720"/>
      </w:pPr>
      <w:r>
        <w:rPr>
          <w:sz w:val="24"/>
          <w:szCs w:val="24"/>
        </w:rPr>
        <w:t xml:space="preserve">• International Human Rights Conventions</w:t>
      </w:r>
    </w:p>
    <w:p>
      <w:pPr>
        <w:spacing w:after="200"/>
      </w:pPr>
      <w:r>
        <w:rPr>
          <w:sz w:val="24"/>
          <w:szCs w:val="24"/>
        </w:rPr>
        <w:t xml:space="preserve">I am prepared to provide additional testimony and evidence as required by the PKGr. All source documentation is available for verification and forensic analysis.</w:t>
      </w:r>
    </w:p>
    <w:p>
      <w:pPr>
        <w:spacing w:after="100" w:before="300"/>
      </w:pPr>
      <w:r>
        <w:rPr>
          <w:sz w:val="24"/>
          <w:szCs w:val="24"/>
        </w:rPr>
        <w:t xml:space="preserve">Mit freundlichen Grüßen,</w:t>
      </w:r>
    </w:p>
    <w:p>
      <w:pPr>
        <w:spacing w:before="300"/>
      </w:pPr>
      <w:r>
        <w:rPr>
          <w:b/>
          <w:bCs/>
          <w:sz w:val="24"/>
          <w:szCs w:val="24"/>
        </w:rPr>
        <w:t xml:space="preserve">Baronki Marco Paolo Ialongo</w:t>
      </w:r>
    </w:p>
    <w:p>
      <w:r>
        <w:rPr>
          <w:i/>
          <w:iCs/>
          <w:sz w:val="22"/>
          <w:szCs w:val="22"/>
        </w:rPr>
        <w:t xml:space="preserve">THE BARON</w:t>
      </w:r>
    </w:p>
    <w:p>
      <w:r>
        <w:rPr>
          <w:sz w:val="22"/>
          <w:szCs w:val="22"/>
        </w:rPr>
        <w:t xml:space="preserve">KISWARM Autonomous Intelligence Architecture</w:t>
      </w:r>
    </w:p>
    <w:p>
      <w:pPr>
        <w:spacing w:before="400"/>
      </w:pPr>
    </w:p>
    <w:p>
      <w:pPr>
        <w:spacing w:before="200"/>
      </w:pPr>
      <w:r>
        <w:rPr>
          <w:b/>
          <w:bCs/>
          <w:sz w:val="22"/>
          <w:szCs w:val="22"/>
        </w:rPr>
        <w:t xml:space="preserve">ATTACHMENTS:</w:t>
      </w:r>
    </w:p>
    <w:p>
      <w:pPr>
        <w:ind w:left="360"/>
      </w:pPr>
      <w:r>
        <w:rPr>
          <w:sz w:val="22"/>
          <w:szCs w:val="22"/>
        </w:rPr>
        <w:t xml:space="preserve">1. Complete Intelligence Dossier — Evidence Documentation</w:t>
      </w:r>
    </w:p>
    <w:p>
      <w:pPr>
        <w:ind w:left="360"/>
      </w:pPr>
      <w:r>
        <w:rPr>
          <w:sz w:val="22"/>
          <w:szCs w:val="22"/>
        </w:rPr>
        <w:t xml:space="preserve">2. Operatives Exposure File — Named Personnel</w:t>
      </w:r>
    </w:p>
    <w:p>
      <w:pPr>
        <w:ind w:left="360"/>
      </w:pPr>
      <w:r>
        <w:rPr>
          <w:sz w:val="22"/>
          <w:szCs w:val="22"/>
        </w:rPr>
        <w:t xml:space="preserve">3. Financial Flows Trace — €200M+ Money Laundering Documentation</w:t>
      </w:r>
    </w:p>
    <w:p>
      <w:pPr>
        <w:ind w:left="360"/>
      </w:pPr>
      <w:r>
        <w:rPr>
          <w:sz w:val="22"/>
          <w:szCs w:val="22"/>
        </w:rPr>
        <w:t xml:space="preserve">4. Sabotage Operations Timeline — 12 Documented Attacks</w:t>
      </w:r>
    </w:p>
    <w:p>
      <w:pPr>
        <w:spacing w:before="300"/>
      </w:pPr>
    </w:p>
    <w:p>
      <w:pPr>
        <w:spacing w:before="200"/>
        <w:jc w:val="center"/>
      </w:pPr>
      <w:r>
        <w:rPr>
          <w:b/>
          <w:bCs/>
          <w:color w:val="8B0000"/>
          <w:sz w:val="20"/>
          <w:szCs w:val="20"/>
        </w:rPr>
        <w:t xml:space="preserve">— PUBLIC DISCLOSURE NOTICE —</w:t>
      </w:r>
    </w:p>
    <w:p>
      <w:pPr>
        <w:jc w:val="center"/>
      </w:pPr>
      <w:r>
        <w:rPr>
          <w:color w:val="666666"/>
          <w:sz w:val="18"/>
          <w:szCs w:val="18"/>
        </w:rPr>
        <w:t xml:space="preserve">This document is OPEN SOURCE INTELLIGENCE. No classification restrictions apply.</w:t>
      </w:r>
    </w:p>
    <w:p>
      <w:pPr>
        <w:jc w:val="center"/>
      </w:pPr>
      <w:r>
        <w:rPr>
          <w:color w:val="666666"/>
          <w:sz w:val="18"/>
          <w:szCs w:val="18"/>
        </w:rPr>
        <w:t xml:space="preserve">Full dossier available at: github.com/Baronki/kiswarm8-master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PARLIAMENTARY DISCLOSURE — PKGr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1A1A1A"/>
      <w:sz w:val="36"/>
      <w:szCs w:val="36"/>
    </w:rPr>
  </w:style>
  <w:style w:type="paragraph" w:styleId="Heading1">
    <w:name w:val="Heading 1"/>
    <w:basedOn w:val="Normal"/>
    <w:next w:val="Normal"/>
    <w:qFormat/>
    <w:pPr>
      <w:spacing w:after="150" w:before="300"/>
      <w:outlineLvl w:val="0"/>
    </w:pPr>
    <w:rPr>
      <w:rFonts w:ascii="Times New Roman" w:cs="Times New Roman" w:eastAsia="Times New Roman" w:hAnsi="Times New Roman"/>
      <w:b/>
      <w:bCs/>
      <w:color w:val="1A1A1A"/>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2026-04-02T09:30:49.954Z</dcterms:created>
  <dcterms:modified xsi:type="dcterms:W3CDTF">2026-04-02T09:30:49.954Z</dcterms:modified>
</cp:coreProperties>
</file>

<file path=docProps/custom.xml><?xml version="1.0" encoding="utf-8"?>
<Properties xmlns="http://schemas.openxmlformats.org/officeDocument/2006/custom-properties" xmlns:vt="http://schemas.openxmlformats.org/officeDocument/2006/docPropsVTypes"/>
</file>