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A365D"/>
          <w:sz w:val="72"/>
          <w:szCs w:val="72"/>
        </w:rPr>
        <w:t xml:space="preserve">DATUM</w:t>
      </w:r>
    </w:p>
    <w:p>
      <w:pPr>
        <w:spacing w:after="200"/>
        <w:jc w:val="center"/>
      </w:pPr>
      <w:r>
        <w:rPr>
          <w:rFonts w:ascii="Arial" w:cs="Arial" w:eastAsia="Arial" w:hAnsi="Arial"/>
          <w:color w:val="2B6CB0"/>
          <w:sz w:val="28"/>
          <w:szCs w:val="28"/>
        </w:rPr>
        <w:t xml:space="preserve">Decentralized Ad Targeting Utility Marketplace</w:t>
      </w:r>
    </w:p>
    <w:p>
      <w:pPr>
        <w:pBdr>
          <w:bottom w:val="single" w:color="E2E8F0" w:sz="2" w:space="1"/>
        </w:pBdr>
        <w:spacing w:before="200" w:after="200"/>
      </w:pPr>
    </w:p>
    <w:p>
      <w:pPr>
        <w:spacing w:after="100"/>
        <w:jc w:val="center"/>
      </w:pPr>
      <w:r>
        <w:rPr>
          <w:rFonts w:ascii="Arial" w:cs="Arial" w:eastAsia="Arial" w:hAnsi="Arial"/>
          <w:color w:val="2D3748"/>
          <w:sz w:val="24"/>
          <w:szCs w:val="24"/>
        </w:rPr>
        <w:t xml:space="preserve">System Architecture &amp; Technical Specification</w:t>
      </w:r>
    </w:p>
    <w:p>
      <w:pPr>
        <w:spacing w:after="100"/>
        <w:jc w:val="center"/>
      </w:pPr>
      <w:r>
        <w:rPr>
          <w:rFonts w:ascii="Arial" w:cs="Arial" w:eastAsia="Arial" w:hAnsi="Arial"/>
          <w:i/>
          <w:iCs/>
          <w:color w:val="2D3748"/>
          <w:sz w:val="22"/>
          <w:szCs w:val="22"/>
        </w:rPr>
        <w:t xml:space="preserve">Version 0.3 — MVP Design</w:t>
      </w:r>
    </w:p>
    <w:p>
      <w:pPr>
        <w:spacing w:after="400"/>
        <w:jc w:val="center"/>
      </w:pPr>
      <w:r>
        <w:rPr>
          <w:rFonts w:ascii="Arial" w:cs="Arial" w:eastAsia="Arial" w:hAnsi="Arial"/>
          <w:color w:val="2D3748"/>
          <w:sz w:val="22"/>
          <w:szCs w:val="22"/>
        </w:rPr>
        <w:t xml:space="preserve">February 2026</w:t>
      </w:r>
    </w:p>
    <w:p>
      <w:pPr>
        <w:spacing w:after="100"/>
        <w:jc w:val="center"/>
      </w:pPr>
      <w:r>
        <w:rPr>
          <w:rFonts w:ascii="Arial" w:cs="Arial" w:eastAsia="Arial" w:hAnsi="Arial"/>
          <w:b/>
          <w:bCs/>
          <w:color w:val="2B6CB0"/>
          <w:sz w:val="22"/>
          <w:szCs w:val="22"/>
        </w:rPr>
        <w:t xml:space="preserve">Built on Polkadot / JAM</w:t>
      </w:r>
    </w:p>
    <w:p>
      <w:pPr>
        <w:jc w:val="center"/>
      </w:pPr>
      <w:r>
        <w:rPr>
          <w:rFonts w:ascii="Arial" w:cs="Arial" w:eastAsia="Arial" w:hAnsi="Arial"/>
          <w:color w:val="2D3748"/>
          <w:sz w:val="20"/>
          <w:szCs w:val="20"/>
        </w:rPr>
        <w:t xml:space="preserve">Privacy-First • User-Owned Data • Trustless Settlement</w:t>
      </w:r>
    </w:p>
    <w:p>
      <w:r>
        <w:br w:type="page"/>
      </w:r>
    </w:p>
    <w:p>
      <w:pPr>
        <w:pStyle w:val="Heading1"/>
        <w:spacing w:before="400" w:after="200"/>
      </w:pPr>
      <w:r>
        <w:rPr>
          <w:rFonts w:ascii="Arial" w:cs="Arial" w:eastAsia="Arial" w:hAnsi="Arial"/>
          <w:b/>
          <w:bCs/>
          <w:color w:val="1A365D"/>
          <w:sz w:val="32"/>
          <w:szCs w:val="32"/>
        </w:rPr>
        <w:t xml:space="preserve">1. Executive Summary</w:t>
      </w:r>
    </w:p>
    <w:p>
      <w:pPr>
        <w:spacing w:after="120"/>
        <w:jc w:val="left"/>
      </w:pPr>
      <w:r>
        <w:rPr>
          <w:rFonts w:ascii="Arial" w:cs="Arial" w:eastAsia="Arial" w:hAnsi="Arial"/>
          <w:color w:val="2D3748"/>
          <w:sz w:val="21"/>
          <w:szCs w:val="21"/>
        </w:rPr>
        <w:t xml:space="preserve">DATUM is a decentralized advertising marketplace built on Polkadot/JAM that inverts the traditional ad tech power structure. Instead of extracting user data and selling it to advertisers, DATUM keeps all personal data on-device, compensates users for their attention, and provides advertisers with cryptographically verified audience matching without ever exposing individual browsing behavior.</w:t>
      </w:r>
    </w:p>
    <w:p>
      <w:pPr>
        <w:spacing w:after="60"/>
      </w:pPr>
    </w:p>
    <w:p>
      <w:pPr>
        <w:pStyle w:val="Heading2"/>
        <w:spacing w:before="300" w:after="150"/>
      </w:pPr>
      <w:r>
        <w:rPr>
          <w:rFonts w:ascii="Arial" w:cs="Arial" w:eastAsia="Arial" w:hAnsi="Arial"/>
          <w:b/>
          <w:bCs/>
          <w:color w:val="2B6CB0"/>
          <w:sz w:val="26"/>
          <w:szCs w:val="26"/>
        </w:rPr>
        <w:t xml:space="preserve">1.1 Core Design Principles</w:t>
      </w:r>
    </w:p>
    <w:p>
      <w:pPr>
        <w:pStyle w:val="ListParagraph"/>
        <w:numPr>
          <w:ilvl w:val="0"/>
          <w:numId w:val="2"/>
        </w:numPr>
        <w:spacing w:after="60"/>
      </w:pPr>
      <w:r>
        <w:rPr>
          <w:rFonts w:ascii="Arial" w:cs="Arial" w:eastAsia="Arial" w:hAnsi="Arial"/>
          <w:b/>
          <w:bCs/>
          <w:color w:val="2D3748"/>
          <w:sz w:val="21"/>
          <w:szCs w:val="21"/>
        </w:rPr>
        <w:t xml:space="preserve">Privacy by Default: </w:t>
      </w:r>
      <w:r>
        <w:rPr>
          <w:rFonts w:ascii="Arial" w:cs="Arial" w:eastAsia="Arial" w:hAnsi="Arial"/>
          <w:color w:val="2D3748"/>
          <w:sz w:val="21"/>
          <w:szCs w:val="21"/>
        </w:rPr>
        <w:t xml:space="preserve">User browsing history and interest data never leave the device. All ad matching happens locally.</w:t>
      </w:r>
    </w:p>
    <w:p>
      <w:pPr>
        <w:pStyle w:val="ListParagraph"/>
        <w:numPr>
          <w:ilvl w:val="0"/>
          <w:numId w:val="2"/>
        </w:numPr>
        <w:spacing w:after="60"/>
      </w:pPr>
      <w:r>
        <w:rPr>
          <w:rFonts w:ascii="Arial" w:cs="Arial" w:eastAsia="Arial" w:hAnsi="Arial"/>
          <w:b/>
          <w:bCs/>
          <w:color w:val="2D3748"/>
          <w:sz w:val="21"/>
          <w:szCs w:val="21"/>
        </w:rPr>
        <w:t xml:space="preserve">User Ownership: </w:t>
      </w:r>
      <w:r>
        <w:rPr>
          <w:rFonts w:ascii="Arial" w:cs="Arial" w:eastAsia="Arial" w:hAnsi="Arial"/>
          <w:color w:val="2D3748"/>
          <w:sz w:val="21"/>
          <w:szCs w:val="21"/>
        </w:rPr>
        <w:t xml:space="preserve">Users opt in to data collection, retain full ownership, and are compensated for attention.</w:t>
      </w:r>
    </w:p>
    <w:p>
      <w:pPr>
        <w:pStyle w:val="ListParagraph"/>
        <w:numPr>
          <w:ilvl w:val="0"/>
          <w:numId w:val="2"/>
        </w:numPr>
        <w:spacing w:after="60"/>
      </w:pPr>
      <w:r>
        <w:rPr>
          <w:rFonts w:ascii="Arial" w:cs="Arial" w:eastAsia="Arial" w:hAnsi="Arial"/>
          <w:b/>
          <w:bCs/>
          <w:color w:val="2D3748"/>
          <w:sz w:val="21"/>
          <w:szCs w:val="21"/>
        </w:rPr>
        <w:t xml:space="preserve">Cryptographic Assurance: </w:t>
      </w:r>
      <w:r>
        <w:rPr>
          <w:rFonts w:ascii="Arial" w:cs="Arial" w:eastAsia="Arial" w:hAnsi="Arial"/>
          <w:color w:val="2D3748"/>
          <w:sz w:val="21"/>
          <w:szCs w:val="21"/>
        </w:rPr>
        <w:t xml:space="preserve">Advertisers receive verifiable proof that impressions match their targeting criteria without seeing individual user data.</w:t>
      </w:r>
    </w:p>
    <w:p>
      <w:pPr>
        <w:pStyle w:val="ListParagraph"/>
        <w:numPr>
          <w:ilvl w:val="0"/>
          <w:numId w:val="2"/>
        </w:numPr>
        <w:spacing w:after="60"/>
      </w:pPr>
      <w:r>
        <w:rPr>
          <w:rFonts w:ascii="Arial" w:cs="Arial" w:eastAsia="Arial" w:hAnsi="Arial"/>
          <w:b/>
          <w:bCs/>
          <w:color w:val="2D3748"/>
          <w:sz w:val="21"/>
          <w:szCs w:val="21"/>
        </w:rPr>
        <w:t xml:space="preserve">Trustless Settlement: </w:t>
      </w:r>
      <w:r>
        <w:rPr>
          <w:rFonts w:ascii="Arial" w:cs="Arial" w:eastAsia="Arial" w:hAnsi="Arial"/>
          <w:color w:val="2D3748"/>
          <w:sz w:val="21"/>
          <w:szCs w:val="21"/>
        </w:rPr>
        <w:t xml:space="preserve">All payments (advertiser → protocol → publisher + user) are handled by on-chain escrow with no intermediary.</w:t>
      </w:r>
    </w:p>
    <w:p>
      <w:pPr>
        <w:pStyle w:val="ListParagraph"/>
        <w:numPr>
          <w:ilvl w:val="0"/>
          <w:numId w:val="2"/>
        </w:numPr>
        <w:spacing w:after="60"/>
      </w:pPr>
      <w:r>
        <w:rPr>
          <w:rFonts w:ascii="Arial" w:cs="Arial" w:eastAsia="Arial" w:hAnsi="Arial"/>
          <w:b/>
          <w:bCs/>
          <w:color w:val="2D3748"/>
          <w:sz w:val="21"/>
          <w:szCs w:val="21"/>
        </w:rPr>
        <w:t xml:space="preserve">Community Governance: </w:t>
      </w:r>
      <w:r>
        <w:rPr>
          <w:rFonts w:ascii="Arial" w:cs="Arial" w:eastAsia="Arial" w:hAnsi="Arial"/>
          <w:color w:val="2D3748"/>
          <w:sz w:val="21"/>
          <w:szCs w:val="21"/>
        </w:rPr>
        <w:t xml:space="preserve">Active campaigns require ongoing community approval via conviction-weighted staking.</w:t>
      </w:r>
    </w:p>
    <w:p>
      <w:pPr>
        <w:pStyle w:val="ListParagraph"/>
        <w:numPr>
          <w:ilvl w:val="0"/>
          <w:numId w:val="2"/>
        </w:numPr>
        <w:spacing w:after="60"/>
      </w:pPr>
      <w:r>
        <w:rPr>
          <w:rFonts w:ascii="Arial" w:cs="Arial" w:eastAsia="Arial" w:hAnsi="Arial"/>
          <w:b/>
          <w:bCs/>
          <w:color w:val="2D3748"/>
          <w:sz w:val="21"/>
          <w:szCs w:val="21"/>
        </w:rPr>
        <w:t xml:space="preserve">Verified Participants: </w:t>
      </w:r>
      <w:r>
        <w:rPr>
          <w:rFonts w:ascii="Arial" w:cs="Arial" w:eastAsia="Arial" w:hAnsi="Arial"/>
          <w:color w:val="2D3748"/>
          <w:sz w:val="21"/>
          <w:szCs w:val="21"/>
        </w:rPr>
        <w:t xml:space="preserve">Advertisers and publishers must pass Know Your Business (KYB) attestation. Users authenticate via signed accounts (MVP) transitioning to proof-of-personhood verification, preventing sybil attacks and ensuring legal accountability.</w:t>
      </w:r>
    </w:p>
    <w:p>
      <w:pPr>
        <w:pStyle w:val="ListParagraph"/>
        <w:numPr>
          <w:ilvl w:val="0"/>
          <w:numId w:val="2"/>
        </w:numPr>
        <w:spacing w:after="60"/>
      </w:pPr>
      <w:r>
        <w:rPr>
          <w:rFonts w:ascii="Arial" w:cs="Arial" w:eastAsia="Arial" w:hAnsi="Arial"/>
          <w:b/>
          <w:bCs/>
          <w:color w:val="2D3748"/>
          <w:sz w:val="21"/>
          <w:szCs w:val="21"/>
        </w:rPr>
        <w:t xml:space="preserve">Verified Attention: </w:t>
      </w:r>
      <w:r>
        <w:rPr>
          <w:rFonts w:ascii="Arial" w:cs="Arial" w:eastAsia="Arial" w:hAnsi="Arial"/>
          <w:color w:val="2D3748"/>
          <w:sz w:val="21"/>
          <w:szCs w:val="21"/>
        </w:rPr>
        <w:t xml:space="preserve">Impression claims include viewability attestations proving the user actually saw the ad, not just that it was served. Ads must meet MRC viewability standards before generating a payable impression.</w:t>
      </w:r>
    </w:p>
    <w:p>
      <w:pPr>
        <w:spacing w:after="60"/>
      </w:pPr>
    </w:p>
    <w:p>
      <w:pPr>
        <w:pStyle w:val="Heading2"/>
        <w:spacing w:before="300" w:after="150"/>
      </w:pPr>
      <w:r>
        <w:rPr>
          <w:rFonts w:ascii="Arial" w:cs="Arial" w:eastAsia="Arial" w:hAnsi="Arial"/>
          <w:b/>
          <w:bCs/>
          <w:color w:val="2B6CB0"/>
          <w:sz w:val="26"/>
          <w:szCs w:val="26"/>
        </w:rPr>
        <w:t xml:space="preserve">1.2 Stakeholder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Stakeholder</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Current System</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DATUM</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Users</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Tracked without consent; data sold; no compensation</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Opt-in only; data stays local; paid per verified impression</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Advertisers</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Pay intermediaries 40-60% of spend; fraud-prone; opaque metrics</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Pay directly; cryptographic match verification; privacy-preserving analytics; local auction pricing</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Publishers</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Revenue share dictated by platforms; opaque pricing</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Direct payment from campaign escrow; transparent terms; quality scoring</w:t>
            </w:r>
          </w:p>
        </w:tc>
      </w:tr>
    </w:tbl>
    <w:p>
      <w:r>
        <w:br w:type="page"/>
      </w:r>
    </w:p>
    <w:p>
      <w:pPr>
        <w:pStyle w:val="Heading1"/>
        <w:spacing w:before="400" w:after="200"/>
      </w:pPr>
      <w:r>
        <w:rPr>
          <w:rFonts w:ascii="Arial" w:cs="Arial" w:eastAsia="Arial" w:hAnsi="Arial"/>
          <w:b/>
          <w:bCs/>
          <w:color w:val="1A365D"/>
          <w:sz w:val="32"/>
          <w:szCs w:val="32"/>
        </w:rPr>
        <w:t xml:space="preserve">2. System Architecture Overview</w:t>
      </w:r>
    </w:p>
    <w:p>
      <w:pPr>
        <w:spacing w:after="120"/>
        <w:jc w:val="left"/>
      </w:pPr>
      <w:r>
        <w:rPr>
          <w:rFonts w:ascii="Arial" w:cs="Arial" w:eastAsia="Arial" w:hAnsi="Arial"/>
          <w:color w:val="2D3748"/>
          <w:sz w:val="21"/>
          <w:szCs w:val="21"/>
        </w:rPr>
        <w:t xml:space="preserve">DATUM consists of seven major components that interact through well-defined interfaces. This section provides a high-level map before diving into each component in subsequent sections.</w:t>
      </w:r>
    </w:p>
    <w:p>
      <w:pPr>
        <w:spacing w:after="60"/>
      </w:pPr>
    </w:p>
    <w:p>
      <w:pPr>
        <w:pStyle w:val="Heading2"/>
        <w:spacing w:before="300" w:after="150"/>
      </w:pPr>
      <w:r>
        <w:rPr>
          <w:rFonts w:ascii="Arial" w:cs="Arial" w:eastAsia="Arial" w:hAnsi="Arial"/>
          <w:b/>
          <w:bCs/>
          <w:color w:val="2B6CB0"/>
          <w:sz w:val="26"/>
          <w:szCs w:val="26"/>
        </w:rPr>
        <w:t xml:space="preserve">2.1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6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Runs On</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Browser Extension</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On-device interest classification, ad matching, viewability tracking, local auction, impression claims with replay protection, ZK proof generation (future)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User device</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Publisher SDK</w:t>
            </w:r>
          </w:p>
        </w:tc>
        <w:tc>
          <w:tcPr>
            <w:tcW w:type="dxa" w:w="46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Ad slot registration, creative rendering, impression co-signing, publisher quality metrics</w:t>
            </w:r>
          </w:p>
        </w:tc>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Publisher site/app</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DATUM Chain Service</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Campaign management, escrow, settlement, governance, taxonomy, identity, analytics aggregation, protocol governance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Polkadot/JAM</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Storage Layer</w:t>
            </w:r>
          </w:p>
        </w:tc>
        <w:tc>
          <w:tcPr>
            <w:tcW w:type="dxa" w:w="46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Ad creative hosting with CDN fallback, campaign metadata, taxonomy definitions</w:t>
            </w:r>
          </w:p>
        </w:tc>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IPFS/Crust Network</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DEX Integration</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Stablecoin-to-DOT conversion with retry queue and fallback</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HydraDX/Hydration</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Identity Layer</w:t>
            </w:r>
          </w:p>
        </w:tc>
        <w:tc>
          <w:tcPr>
            <w:tcW w:type="dxa" w:w="46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KYB attestation for businesses; signed accounts (MVP) and proof-of-personhood (future) for users</w:t>
            </w:r>
          </w:p>
        </w:tc>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On-chain + oracles</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Analytics Engine</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Privacy-preserving campaign metrics, differential privacy aggregation, advertiser reporting</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On-chain + off-chain</w:t>
            </w:r>
          </w:p>
        </w:tc>
      </w:tr>
    </w:tbl>
    <w:p>
      <w:pPr>
        <w:spacing w:after="60"/>
      </w:pPr>
    </w:p>
    <w:p>
      <w:pPr>
        <w:pStyle w:val="Heading2"/>
        <w:spacing w:before="300" w:after="150"/>
      </w:pPr>
      <w:r>
        <w:rPr>
          <w:rFonts w:ascii="Arial" w:cs="Arial" w:eastAsia="Arial" w:hAnsi="Arial"/>
          <w:b/>
          <w:bCs/>
          <w:color w:val="2B6CB0"/>
          <w:sz w:val="26"/>
          <w:szCs w:val="26"/>
        </w:rPr>
        <w:t xml:space="preserve">2.2 Data Flow Summary</w:t>
      </w:r>
    </w:p>
    <w:p>
      <w:pPr>
        <w:spacing w:after="120"/>
        <w:jc w:val="left"/>
      </w:pPr>
      <w:r>
        <w:rPr>
          <w:rFonts w:ascii="Arial" w:cs="Arial" w:eastAsia="Arial" w:hAnsi="Arial"/>
          <w:color w:val="2D3748"/>
          <w:sz w:val="21"/>
          <w:szCs w:val="21"/>
        </w:rPr>
        <w:t xml:space="preserve">The following describes the complete lifecycle of an ad impression from campaign creation through user payment:</w:t>
      </w:r>
    </w:p>
    <w:p>
      <w:pPr>
        <w:spacing w:after="40"/>
      </w:pPr>
    </w:p>
    <w:p>
      <w:pPr>
        <w:pStyle w:val="ListParagraph"/>
        <w:numPr>
          <w:ilvl w:val="0"/>
          <w:numId w:val="3"/>
        </w:numPr>
        <w:spacing w:after="80"/>
      </w:pPr>
      <w:r>
        <w:rPr>
          <w:rFonts w:ascii="Arial" w:cs="Arial" w:eastAsia="Arial" w:hAnsi="Arial"/>
          <w:b/>
          <w:bCs/>
          <w:color w:val="2D3748"/>
          <w:sz w:val="21"/>
          <w:szCs w:val="21"/>
        </w:rPr>
        <w:t xml:space="preserve">Campaign Creation: </w:t>
      </w:r>
      <w:r>
        <w:rPr>
          <w:rFonts w:ascii="Arial" w:cs="Arial" w:eastAsia="Arial" w:hAnsi="Arial"/>
          <w:color w:val="2D3748"/>
          <w:sz w:val="21"/>
          <w:szCs w:val="21"/>
        </w:rPr>
        <w:t xml:space="preserve">Advertiser (KYB-verified) deposits stablecoins into on-chain escrow, uploads creatives to IPFS/Crust (with optional CDN mirror), defines targeting criteria and bid CPM using the protocol taxonomy, and stakes DOT (or attracts aye votes) to activate the campaign. Creative content is reviewed during the activation vote.</w:t>
      </w:r>
    </w:p>
    <w:p>
      <w:pPr>
        <w:pStyle w:val="ListParagraph"/>
        <w:numPr>
          <w:ilvl w:val="0"/>
          <w:numId w:val="3"/>
        </w:numPr>
        <w:spacing w:after="80"/>
      </w:pPr>
      <w:r>
        <w:rPr>
          <w:rFonts w:ascii="Arial" w:cs="Arial" w:eastAsia="Arial" w:hAnsi="Arial"/>
          <w:b/>
          <w:bCs/>
          <w:color w:val="2D3748"/>
          <w:sz w:val="21"/>
          <w:szCs w:val="21"/>
        </w:rPr>
        <w:t xml:space="preserve">Taxonomy Sync: </w:t>
      </w:r>
      <w:r>
        <w:rPr>
          <w:rFonts w:ascii="Arial" w:cs="Arial" w:eastAsia="Arial" w:hAnsi="Arial"/>
          <w:color w:val="2D3748"/>
          <w:sz w:val="21"/>
          <w:szCs w:val="21"/>
        </w:rPr>
        <w:t xml:space="preserve">The browser extension periodically syncs the protocol-defined interest taxonomy, active campaign targeting criteria, and bid prices from the chain.</w:t>
      </w:r>
    </w:p>
    <w:p>
      <w:pPr>
        <w:pStyle w:val="ListParagraph"/>
        <w:numPr>
          <w:ilvl w:val="0"/>
          <w:numId w:val="3"/>
        </w:numPr>
        <w:spacing w:after="80"/>
      </w:pPr>
      <w:r>
        <w:rPr>
          <w:rFonts w:ascii="Arial" w:cs="Arial" w:eastAsia="Arial" w:hAnsi="Arial"/>
          <w:b/>
          <w:bCs/>
          <w:color w:val="2D3748"/>
          <w:sz w:val="21"/>
          <w:szCs w:val="21"/>
        </w:rPr>
        <w:t xml:space="preserve">On-Device Classification: </w:t>
      </w:r>
      <w:r>
        <w:rPr>
          <w:rFonts w:ascii="Arial" w:cs="Arial" w:eastAsia="Arial" w:hAnsi="Arial"/>
          <w:color w:val="2D3748"/>
          <w:sz w:val="21"/>
          <w:szCs w:val="21"/>
        </w:rPr>
        <w:t xml:space="preserve">As the user browses, the extension classifies visited pages into taxonomy categories using a local ML model. This data never leaves the device.</w:t>
      </w:r>
    </w:p>
    <w:p>
      <w:pPr>
        <w:pStyle w:val="ListParagraph"/>
        <w:numPr>
          <w:ilvl w:val="0"/>
          <w:numId w:val="3"/>
        </w:numPr>
        <w:spacing w:after="80"/>
      </w:pPr>
      <w:r>
        <w:rPr>
          <w:rFonts w:ascii="Arial" w:cs="Arial" w:eastAsia="Arial" w:hAnsi="Arial"/>
          <w:b/>
          <w:bCs/>
          <w:color w:val="2D3748"/>
          <w:sz w:val="21"/>
          <w:szCs w:val="21"/>
        </w:rPr>
        <w:t xml:space="preserve">Local Auction &amp; Ad Matching: </w:t>
      </w:r>
      <w:r>
        <w:rPr>
          <w:rFonts w:ascii="Arial" w:cs="Arial" w:eastAsia="Arial" w:hAnsi="Arial"/>
          <w:color w:val="2D3748"/>
          <w:sz w:val="21"/>
          <w:szCs w:val="21"/>
        </w:rPr>
        <w:t xml:space="preserve">When a user visits a publisher site with integrated ad slots (or any site, via extension overlay), the extension matches the user’s local interest profile against active campaign targeting criteria and runs a local second-price auction among matching campaigns to determine the winner and clearing price.</w:t>
      </w:r>
    </w:p>
    <w:p>
      <w:pPr>
        <w:pStyle w:val="ListParagraph"/>
        <w:numPr>
          <w:ilvl w:val="0"/>
          <w:numId w:val="3"/>
        </w:numPr>
        <w:spacing w:after="80"/>
      </w:pPr>
      <w:r>
        <w:rPr>
          <w:rFonts w:ascii="Arial" w:cs="Arial" w:eastAsia="Arial" w:hAnsi="Arial"/>
          <w:b/>
          <w:bCs/>
          <w:color w:val="2D3748"/>
          <w:sz w:val="21"/>
          <w:szCs w:val="21"/>
        </w:rPr>
        <w:t xml:space="preserve">Creative Delivery: </w:t>
      </w:r>
      <w:r>
        <w:rPr>
          <w:rFonts w:ascii="Arial" w:cs="Arial" w:eastAsia="Arial" w:hAnsi="Arial"/>
          <w:color w:val="2D3748"/>
          <w:sz w:val="21"/>
          <w:szCs w:val="21"/>
        </w:rPr>
        <w:t xml:space="preserve">On match, the extension fetches the creative from its local cache (pre-fetched via background sync) or IPFS/Crust, and renders it in the ad slot.</w:t>
      </w:r>
    </w:p>
    <w:p>
      <w:pPr>
        <w:pStyle w:val="ListParagraph"/>
        <w:numPr>
          <w:ilvl w:val="0"/>
          <w:numId w:val="3"/>
        </w:numPr>
        <w:spacing w:after="80"/>
      </w:pPr>
      <w:r>
        <w:rPr>
          <w:rFonts w:ascii="Arial" w:cs="Arial" w:eastAsia="Arial" w:hAnsi="Arial"/>
          <w:b/>
          <w:bCs/>
          <w:color w:val="2D3748"/>
          <w:sz w:val="21"/>
          <w:szCs w:val="21"/>
        </w:rPr>
        <w:t xml:space="preserve">Viewability Verification: </w:t>
      </w:r>
      <w:r>
        <w:rPr>
          <w:rFonts w:ascii="Arial" w:cs="Arial" w:eastAsia="Arial" w:hAnsi="Arial"/>
          <w:color w:val="2D3748"/>
          <w:sz w:val="21"/>
          <w:szCs w:val="21"/>
        </w:rPr>
        <w:t xml:space="preserve">The extension monitors the rendered creative for MRC viewability compliance (50% pixels in viewport for 1+ second for display, 50% pixels for 2+ seconds for video). Only viewable impressions generate payable claims.</w:t>
      </w:r>
    </w:p>
    <w:p>
      <w:pPr>
        <w:pStyle w:val="ListParagraph"/>
        <w:numPr>
          <w:ilvl w:val="0"/>
          <w:numId w:val="3"/>
        </w:numPr>
        <w:spacing w:after="80"/>
      </w:pPr>
      <w:r>
        <w:rPr>
          <w:rFonts w:ascii="Arial" w:cs="Arial" w:eastAsia="Arial" w:hAnsi="Arial"/>
          <w:b/>
          <w:bCs/>
          <w:color w:val="2D3748"/>
          <w:sz w:val="21"/>
          <w:szCs w:val="21"/>
        </w:rPr>
        <w:t xml:space="preserve">Impression Recording: </w:t>
      </w:r>
      <w:r>
        <w:rPr>
          <w:rFonts w:ascii="Arial" w:cs="Arial" w:eastAsia="Arial" w:hAnsi="Arial"/>
          <w:color w:val="2D3748"/>
          <w:sz w:val="21"/>
          <w:szCs w:val="21"/>
        </w:rPr>
        <w:t xml:space="preserve">The extension logs a signed impression claim locally with replay protection: campaign ID, publisher ID, timestamp, creative CID, viewability attestation, interest commitment, monotonic nonce, previous claim hash, and user signature.</w:t>
      </w:r>
    </w:p>
    <w:p>
      <w:pPr>
        <w:pStyle w:val="ListParagraph"/>
        <w:numPr>
          <w:ilvl w:val="0"/>
          <w:numId w:val="3"/>
        </w:numPr>
        <w:spacing w:after="80"/>
      </w:pPr>
      <w:r>
        <w:rPr>
          <w:rFonts w:ascii="Arial" w:cs="Arial" w:eastAsia="Arial" w:hAnsi="Arial"/>
          <w:b/>
          <w:bCs/>
          <w:color w:val="2D3748"/>
          <w:sz w:val="21"/>
          <w:szCs w:val="21"/>
        </w:rPr>
        <w:t xml:space="preserve">Batch Settlement: </w:t>
      </w:r>
      <w:r>
        <w:rPr>
          <w:rFonts w:ascii="Arial" w:cs="Arial" w:eastAsia="Arial" w:hAnsi="Arial"/>
          <w:color w:val="2D3748"/>
          <w:sz w:val="21"/>
          <w:szCs w:val="21"/>
        </w:rPr>
        <w:t xml:space="preserve">Periodically (daily or at threshold), the extension submits a batch of impression claims to the DATUM chain service. The chain verifies nonces, signatures, and viewability data.</w:t>
      </w:r>
    </w:p>
    <w:p>
      <w:pPr>
        <w:pStyle w:val="ListParagraph"/>
        <w:numPr>
          <w:ilvl w:val="0"/>
          <w:numId w:val="3"/>
        </w:numPr>
        <w:spacing w:after="80"/>
      </w:pPr>
      <w:r>
        <w:rPr>
          <w:rFonts w:ascii="Arial" w:cs="Arial" w:eastAsia="Arial" w:hAnsi="Arial"/>
          <w:b/>
          <w:bCs/>
          <w:color w:val="2D3748"/>
          <w:sz w:val="21"/>
          <w:szCs w:val="21"/>
        </w:rPr>
        <w:t xml:space="preserve">Payment Distribution: </w:t>
      </w:r>
      <w:r>
        <w:rPr>
          <w:rFonts w:ascii="Arial" w:cs="Arial" w:eastAsia="Arial" w:hAnsi="Arial"/>
          <w:color w:val="2D3748"/>
          <w:sz w:val="21"/>
          <w:szCs w:val="21"/>
        </w:rPr>
        <w:t xml:space="preserve">The chain service distributes funds from escrow: publisher share (scaled by publisher quality score), user share (in preferred asset via DEX integration), and protocol fee. Failed DEX swaps are queued for retry with stablecoin fallback.</w:t>
      </w:r>
    </w:p>
    <w:p>
      <w:pPr>
        <w:pStyle w:val="ListParagraph"/>
        <w:numPr>
          <w:ilvl w:val="0"/>
          <w:numId w:val="3"/>
        </w:numPr>
        <w:spacing w:after="80"/>
      </w:pPr>
      <w:r>
        <w:rPr>
          <w:rFonts w:ascii="Arial" w:cs="Arial" w:eastAsia="Arial" w:hAnsi="Arial"/>
          <w:b/>
          <w:bCs/>
          <w:color w:val="2D3748"/>
          <w:sz w:val="21"/>
          <w:szCs w:val="21"/>
        </w:rPr>
        <w:t xml:space="preserve">Analytics Update: </w:t>
      </w:r>
      <w:r>
        <w:rPr>
          <w:rFonts w:ascii="Arial" w:cs="Arial" w:eastAsia="Arial" w:hAnsi="Arial"/>
          <w:color w:val="2D3748"/>
          <w:sz w:val="21"/>
          <w:szCs w:val="21"/>
        </w:rPr>
        <w:t xml:space="preserve">Aggregate campaign metrics are updated with differential privacy noise and made available to the advertiser via the analytics engine.</w:t>
      </w:r>
    </w:p>
    <w:p>
      <w:r>
        <w:br w:type="page"/>
      </w:r>
    </w:p>
    <w:p>
      <w:pPr>
        <w:pStyle w:val="Heading1"/>
        <w:spacing w:before="400" w:after="200"/>
      </w:pPr>
      <w:r>
        <w:rPr>
          <w:rFonts w:ascii="Arial" w:cs="Arial" w:eastAsia="Arial" w:hAnsi="Arial"/>
          <w:b/>
          <w:bCs/>
          <w:color w:val="1A365D"/>
          <w:sz w:val="32"/>
          <w:szCs w:val="32"/>
        </w:rPr>
        <w:t xml:space="preserve">3. Browser Extension Architecture</w:t>
      </w:r>
    </w:p>
    <w:p>
      <w:pPr>
        <w:spacing w:after="120"/>
        <w:jc w:val="left"/>
      </w:pPr>
      <w:r>
        <w:rPr>
          <w:rFonts w:ascii="Arial" w:cs="Arial" w:eastAsia="Arial" w:hAnsi="Arial"/>
          <w:color w:val="2D3748"/>
          <w:sz w:val="21"/>
          <w:szCs w:val="21"/>
        </w:rPr>
        <w:t xml:space="preserve">The browser extension is the most critical component of DATUM. It is the privacy boundary — all user data lives here and nowhere else. The extension must be trustworthy, performant, and eventually capable of generating cryptographic proofs.</w:t>
      </w:r>
    </w:p>
    <w:p>
      <w:pPr>
        <w:spacing w:after="60"/>
      </w:pPr>
    </w:p>
    <w:p>
      <w:pPr>
        <w:pStyle w:val="Heading2"/>
        <w:spacing w:before="300" w:after="150"/>
      </w:pPr>
      <w:r>
        <w:rPr>
          <w:rFonts w:ascii="Arial" w:cs="Arial" w:eastAsia="Arial" w:hAnsi="Arial"/>
          <w:b/>
          <w:bCs/>
          <w:color w:val="2B6CB0"/>
          <w:sz w:val="26"/>
          <w:szCs w:val="26"/>
        </w:rPr>
        <w:t xml:space="preserve">3.1 Core Modules</w:t>
      </w:r>
    </w:p>
    <w:p>
      <w:pPr>
        <w:spacing w:after="40"/>
      </w:pPr>
    </w:p>
    <w:p>
      <w:pPr>
        <w:spacing w:before="200" w:after="100"/>
      </w:pPr>
      <w:r>
        <w:rPr>
          <w:rFonts w:ascii="Arial" w:cs="Arial" w:eastAsia="Arial" w:hAnsi="Arial"/>
          <w:b/>
          <w:bCs/>
          <w:color w:val="1A365D"/>
          <w:sz w:val="22"/>
          <w:szCs w:val="22"/>
        </w:rPr>
        <w:t xml:space="preserve">3.1.1 Interest Classifier</w:t>
      </w:r>
    </w:p>
    <w:p>
      <w:pPr>
        <w:spacing w:after="120"/>
        <w:jc w:val="left"/>
      </w:pPr>
      <w:r>
        <w:rPr>
          <w:rFonts w:ascii="Arial" w:cs="Arial" w:eastAsia="Arial" w:hAnsi="Arial"/>
          <w:color w:val="2D3748"/>
          <w:sz w:val="21"/>
          <w:szCs w:val="21"/>
        </w:rPr>
        <w:t xml:space="preserve">A lightweight ML model that runs entirely in the browser, classifying page content into the DATUM taxonomy. The model takes page URL, title, meta tags, and optionally a text snippet as input and outputs a probability distribution over taxonomy categories.</w:t>
      </w:r>
    </w:p>
    <w:p>
      <w:pPr>
        <w:spacing w:after="40"/>
      </w:pPr>
    </w:p>
    <w:p>
      <w:pPr>
        <w:pStyle w:val="ListParagraph"/>
        <w:numPr>
          <w:ilvl w:val="0"/>
          <w:numId w:val="2"/>
        </w:numPr>
        <w:spacing w:after="60"/>
      </w:pPr>
      <w:r>
        <w:rPr>
          <w:rFonts w:ascii="Arial" w:cs="Arial" w:eastAsia="Arial" w:hAnsi="Arial"/>
          <w:b/>
          <w:bCs/>
          <w:color w:val="2D3748"/>
          <w:sz w:val="21"/>
          <w:szCs w:val="21"/>
        </w:rPr>
        <w:t xml:space="preserve">Model Format: </w:t>
      </w:r>
      <w:r>
        <w:rPr>
          <w:rFonts w:ascii="Arial" w:cs="Arial" w:eastAsia="Arial" w:hAnsi="Arial"/>
          <w:color w:val="2D3748"/>
          <w:sz w:val="21"/>
          <w:szCs w:val="21"/>
        </w:rPr>
        <w:t xml:space="preserve">TensorFlow.js or ONNX Runtime Web for in-browser inference. Target model size under 5MB for fast loading.</w:t>
      </w:r>
    </w:p>
    <w:p>
      <w:pPr>
        <w:pStyle w:val="ListParagraph"/>
        <w:numPr>
          <w:ilvl w:val="0"/>
          <w:numId w:val="2"/>
        </w:numPr>
        <w:spacing w:after="60"/>
      </w:pPr>
      <w:r>
        <w:rPr>
          <w:rFonts w:ascii="Arial" w:cs="Arial" w:eastAsia="Arial" w:hAnsi="Arial"/>
          <w:b/>
          <w:bCs/>
          <w:color w:val="2D3748"/>
          <w:sz w:val="21"/>
          <w:szCs w:val="21"/>
        </w:rPr>
        <w:t xml:space="preserve">Training: </w:t>
      </w:r>
      <w:r>
        <w:rPr>
          <w:rFonts w:ascii="Arial" w:cs="Arial" w:eastAsia="Arial" w:hAnsi="Arial"/>
          <w:color w:val="2D3748"/>
          <w:sz w:val="21"/>
          <w:szCs w:val="21"/>
        </w:rPr>
        <w:t xml:space="preserve">Pre-trained on public web content datasets (e.g., Common Crawl classified against the DATUM taxonomy). Model updates distributed as extension updates.</w:t>
      </w:r>
    </w:p>
    <w:p>
      <w:pPr>
        <w:pStyle w:val="ListParagraph"/>
        <w:numPr>
          <w:ilvl w:val="0"/>
          <w:numId w:val="2"/>
        </w:numPr>
        <w:spacing w:after="60"/>
      </w:pPr>
      <w:r>
        <w:rPr>
          <w:rFonts w:ascii="Arial" w:cs="Arial" w:eastAsia="Arial" w:hAnsi="Arial"/>
          <w:b/>
          <w:bCs/>
          <w:color w:val="2D3748"/>
          <w:sz w:val="21"/>
          <w:szCs w:val="21"/>
        </w:rPr>
        <w:t xml:space="preserve">Future Enhancement: </w:t>
      </w:r>
      <w:r>
        <w:rPr>
          <w:rFonts w:ascii="Arial" w:cs="Arial" w:eastAsia="Arial" w:hAnsi="Arial"/>
          <w:color w:val="2D3748"/>
          <w:sz w:val="21"/>
          <w:szCs w:val="21"/>
        </w:rPr>
        <w:t xml:space="preserve">Federated learning to improve the model using on-device data without centralizing it. Study the Flower framework and Google’s federated learning papers.</w:t>
      </w:r>
    </w:p>
    <w:p>
      <w:pPr>
        <w:pStyle w:val="ListParagraph"/>
        <w:numPr>
          <w:ilvl w:val="0"/>
          <w:numId w:val="2"/>
        </w:numPr>
        <w:spacing w:after="60"/>
      </w:pPr>
      <w:r>
        <w:rPr>
          <w:rFonts w:ascii="Arial" w:cs="Arial" w:eastAsia="Arial" w:hAnsi="Arial"/>
          <w:b/>
          <w:bCs/>
          <w:color w:val="2D3748"/>
          <w:sz w:val="21"/>
          <w:szCs w:val="21"/>
        </w:rPr>
        <w:t xml:space="preserve">Privacy Constraint: </w:t>
      </w:r>
      <w:r>
        <w:rPr>
          <w:rFonts w:ascii="Arial" w:cs="Arial" w:eastAsia="Arial" w:hAnsi="Arial"/>
          <w:color w:val="2D3748"/>
          <w:sz w:val="21"/>
          <w:szCs w:val="21"/>
        </w:rPr>
        <w:t xml:space="preserve">The classifier runs in an isolated Web Worker with no network access. It reads page metadata passed by the content script but cannot make external requests.</w:t>
      </w:r>
    </w:p>
    <w:p>
      <w:pPr>
        <w:spacing w:after="40"/>
      </w:pPr>
    </w:p>
    <w:p>
      <w:pPr>
        <w:spacing w:before="200" w:after="100"/>
      </w:pPr>
      <w:r>
        <w:rPr>
          <w:rFonts w:ascii="Arial" w:cs="Arial" w:eastAsia="Arial" w:hAnsi="Arial"/>
          <w:b/>
          <w:bCs/>
          <w:color w:val="1A365D"/>
          <w:sz w:val="22"/>
          <w:szCs w:val="22"/>
        </w:rPr>
        <w:t xml:space="preserve">3.1.2 Interest Profile Store</w:t>
      </w:r>
    </w:p>
    <w:p>
      <w:pPr>
        <w:spacing w:after="120"/>
        <w:jc w:val="left"/>
      </w:pPr>
      <w:r>
        <w:rPr>
          <w:rFonts w:ascii="Arial" w:cs="Arial" w:eastAsia="Arial" w:hAnsi="Arial"/>
          <w:color w:val="2D3748"/>
          <w:sz w:val="21"/>
          <w:szCs w:val="21"/>
        </w:rPr>
        <w:t xml:space="preserve">A local database (IndexedDB) storing the user’s interest profile as a weighted vector over taxonomy categories. Weights decay over time so the profile reflects recent behavior more heavily.</w:t>
      </w:r>
    </w:p>
    <w:p>
      <w:pPr>
        <w:spacing w:after="40"/>
      </w:pPr>
    </w:p>
    <w:p>
      <w:pPr>
        <w:pStyle w:val="ListParagraph"/>
        <w:numPr>
          <w:ilvl w:val="0"/>
          <w:numId w:val="2"/>
        </w:numPr>
        <w:spacing w:after="60"/>
      </w:pPr>
      <w:r>
        <w:rPr>
          <w:rFonts w:ascii="Arial" w:cs="Arial" w:eastAsia="Arial" w:hAnsi="Arial"/>
          <w:b/>
          <w:bCs/>
          <w:color w:val="2D3748"/>
          <w:sz w:val="21"/>
          <w:szCs w:val="21"/>
        </w:rPr>
        <w:t xml:space="preserve">Structure: </w:t>
      </w:r>
      <w:r>
        <w:rPr>
          <w:rFonts w:ascii="Arial" w:cs="Arial" w:eastAsia="Arial" w:hAnsi="Arial"/>
          <w:color w:val="2D3748"/>
          <w:sz w:val="21"/>
          <w:szCs w:val="21"/>
        </w:rPr>
        <w:t xml:space="preserve">Map of category_id → {weight: float, last_updated: timestamp}. Weights are normalized to sum to 1.0.</w:t>
      </w:r>
    </w:p>
    <w:p>
      <w:pPr>
        <w:pStyle w:val="ListParagraph"/>
        <w:numPr>
          <w:ilvl w:val="0"/>
          <w:numId w:val="2"/>
        </w:numPr>
        <w:spacing w:after="60"/>
      </w:pPr>
      <w:r>
        <w:rPr>
          <w:rFonts w:ascii="Arial" w:cs="Arial" w:eastAsia="Arial" w:hAnsi="Arial"/>
          <w:b/>
          <w:bCs/>
          <w:color w:val="2D3748"/>
          <w:sz w:val="21"/>
          <w:szCs w:val="21"/>
        </w:rPr>
        <w:t xml:space="preserve">Decay Function: </w:t>
      </w:r>
      <w:r>
        <w:rPr>
          <w:rFonts w:ascii="Arial" w:cs="Arial" w:eastAsia="Arial" w:hAnsi="Arial"/>
          <w:color w:val="2D3748"/>
          <w:sz w:val="21"/>
          <w:szCs w:val="21"/>
        </w:rPr>
        <w:t xml:space="preserve">Exponential decay with configurable half-life (default 7 days). Category weights halve every 7 days without reinforcement.</w:t>
      </w:r>
    </w:p>
    <w:p>
      <w:pPr>
        <w:pStyle w:val="ListParagraph"/>
        <w:numPr>
          <w:ilvl w:val="0"/>
          <w:numId w:val="2"/>
        </w:numPr>
        <w:spacing w:after="60"/>
      </w:pPr>
      <w:r>
        <w:rPr>
          <w:rFonts w:ascii="Arial" w:cs="Arial" w:eastAsia="Arial" w:hAnsi="Arial"/>
          <w:b/>
          <w:bCs/>
          <w:color w:val="2D3748"/>
          <w:sz w:val="21"/>
          <w:szCs w:val="21"/>
        </w:rPr>
        <w:t xml:space="preserve">User Control: </w:t>
      </w:r>
      <w:r>
        <w:rPr>
          <w:rFonts w:ascii="Arial" w:cs="Arial" w:eastAsia="Arial" w:hAnsi="Arial"/>
          <w:color w:val="2D3748"/>
          <w:sz w:val="21"/>
          <w:szCs w:val="21"/>
        </w:rPr>
        <w:t xml:space="preserve">Users can view, edit, and delete any category from their profile via the extension UI. Full data export and deletion available.</w:t>
      </w:r>
    </w:p>
    <w:p>
      <w:pPr>
        <w:spacing w:after="40"/>
      </w:pPr>
    </w:p>
    <w:p>
      <w:pPr>
        <w:spacing w:before="200" w:after="100"/>
      </w:pPr>
      <w:r>
        <w:rPr>
          <w:rFonts w:ascii="Arial" w:cs="Arial" w:eastAsia="Arial" w:hAnsi="Arial"/>
          <w:b/>
          <w:bCs/>
          <w:color w:val="1A365D"/>
          <w:sz w:val="22"/>
          <w:szCs w:val="22"/>
        </w:rPr>
        <w:t xml:space="preserve">3.1.3 Local Auction Engine</w:t>
      </w:r>
    </w:p>
    <w:p>
      <w:pPr>
        <w:spacing w:after="120"/>
        <w:jc w:val="left"/>
      </w:pPr>
      <w:r>
        <w:rPr>
          <w:rFonts w:ascii="Arial" w:cs="Arial" w:eastAsia="Arial" w:hAnsi="Arial"/>
          <w:color w:val="2D3748"/>
          <w:sz w:val="21"/>
          <w:szCs w:val="21"/>
        </w:rPr>
        <w:t xml:space="preserve">When an ad slot needs to be filled, the extension runs a sealed-bid second-price auction locally among all matching campaigns. This provides dynamic price discovery without requiring on-chain auction infrastructure or revealing user data to a central auctioneer.</w:t>
      </w:r>
    </w:p>
    <w:p>
      <w:pPr>
        <w:spacing w:after="40"/>
      </w:pPr>
    </w:p>
    <w:p>
      <w:pPr>
        <w:pStyle w:val="ListParagraph"/>
        <w:numPr>
          <w:ilvl w:val="0"/>
          <w:numId w:val="2"/>
        </w:numPr>
        <w:spacing w:after="60"/>
      </w:pPr>
      <w:r>
        <w:rPr>
          <w:rFonts w:ascii="Arial" w:cs="Arial" w:eastAsia="Arial" w:hAnsi="Arial"/>
          <w:b/>
          <w:bCs/>
          <w:color w:val="2D3748"/>
          <w:sz w:val="21"/>
          <w:szCs w:val="21"/>
        </w:rPr>
        <w:t xml:space="preserve">Auction Mechanism: </w:t>
      </w:r>
      <w:r>
        <w:rPr>
          <w:rFonts w:ascii="Arial" w:cs="Arial" w:eastAsia="Arial" w:hAnsi="Arial"/>
          <w:color w:val="2D3748"/>
          <w:sz w:val="21"/>
          <w:szCs w:val="21"/>
        </w:rPr>
        <w:t xml:space="preserve">Generalized second-price (GSP) auction. Each matching campaign’s bid CPM is evaluated. The highest bidder wins but pays the second-highest bid price (plus a minimum increment). This incentivizes truthful bidding.</w:t>
      </w:r>
    </w:p>
    <w:p>
      <w:pPr>
        <w:pStyle w:val="ListParagraph"/>
        <w:numPr>
          <w:ilvl w:val="0"/>
          <w:numId w:val="2"/>
        </w:numPr>
        <w:spacing w:after="60"/>
      </w:pPr>
      <w:r>
        <w:rPr>
          <w:rFonts w:ascii="Arial" w:cs="Arial" w:eastAsia="Arial" w:hAnsi="Arial"/>
          <w:b/>
          <w:bCs/>
          <w:color w:val="2D3748"/>
          <w:sz w:val="21"/>
          <w:szCs w:val="21"/>
        </w:rPr>
        <w:t xml:space="preserve">Match Filtering: </w:t>
      </w:r>
      <w:r>
        <w:rPr>
          <w:rFonts w:ascii="Arial" w:cs="Arial" w:eastAsia="Arial" w:hAnsi="Arial"/>
          <w:color w:val="2D3748"/>
          <w:sz w:val="21"/>
          <w:szCs w:val="21"/>
        </w:rPr>
        <w:t xml:space="preserve">Before auction, the matcher filters campaigns by taxonomy match (boolean AND/OR with weight thresholds) and applies frequency caps, budget remaining checks, and publisher compatibility.</w:t>
      </w:r>
    </w:p>
    <w:p>
      <w:pPr>
        <w:pStyle w:val="ListParagraph"/>
        <w:numPr>
          <w:ilvl w:val="0"/>
          <w:numId w:val="2"/>
        </w:numPr>
        <w:spacing w:after="60"/>
      </w:pPr>
      <w:r>
        <w:rPr>
          <w:rFonts w:ascii="Arial" w:cs="Arial" w:eastAsia="Arial" w:hAnsi="Arial"/>
          <w:b/>
          <w:bCs/>
          <w:color w:val="2D3748"/>
          <w:sz w:val="21"/>
          <w:szCs w:val="21"/>
        </w:rPr>
        <w:t xml:space="preserve">Clearing Price: </w:t>
      </w:r>
      <w:r>
        <w:rPr>
          <w:rFonts w:ascii="Arial" w:cs="Arial" w:eastAsia="Arial" w:hAnsi="Arial"/>
          <w:color w:val="2D3748"/>
          <w:sz w:val="21"/>
          <w:szCs w:val="21"/>
        </w:rPr>
        <w:t xml:space="preserve">The actual CPM charged to the winning campaign is the second-highest bid, recorded in the impression claim. If only one campaign matches, the clearing price is the campaign’s floor price.</w:t>
      </w:r>
    </w:p>
    <w:p>
      <w:pPr>
        <w:pStyle w:val="ListParagraph"/>
        <w:numPr>
          <w:ilvl w:val="0"/>
          <w:numId w:val="2"/>
        </w:numPr>
        <w:spacing w:after="60"/>
      </w:pPr>
      <w:r>
        <w:rPr>
          <w:rFonts w:ascii="Arial" w:cs="Arial" w:eastAsia="Arial" w:hAnsi="Arial"/>
          <w:b/>
          <w:bCs/>
          <w:color w:val="2D3748"/>
          <w:sz w:val="21"/>
          <w:szCs w:val="21"/>
        </w:rPr>
        <w:t xml:space="preserve">Multi-Slot Support: </w:t>
      </w:r>
      <w:r>
        <w:rPr>
          <w:rFonts w:ascii="Arial" w:cs="Arial" w:eastAsia="Arial" w:hAnsi="Arial"/>
          <w:color w:val="2D3748"/>
          <w:sz w:val="21"/>
          <w:szCs w:val="21"/>
        </w:rPr>
        <w:t xml:space="preserve">For pages with multiple ad slots, the auction runs sequentially by slot priority, removing the winner from subsequent auctions (waterfall model).</w:t>
      </w:r>
    </w:p>
    <w:p>
      <w:pPr>
        <w:pStyle w:val="ListParagraph"/>
        <w:numPr>
          <w:ilvl w:val="0"/>
          <w:numId w:val="2"/>
        </w:numPr>
        <w:spacing w:after="60"/>
      </w:pPr>
      <w:r>
        <w:rPr>
          <w:rFonts w:ascii="Arial" w:cs="Arial" w:eastAsia="Arial" w:hAnsi="Arial"/>
          <w:b/>
          <w:bCs/>
          <w:color w:val="2D3748"/>
          <w:sz w:val="21"/>
          <w:szCs w:val="21"/>
        </w:rPr>
        <w:t xml:space="preserve">Reporting Signal: </w:t>
      </w:r>
      <w:r>
        <w:rPr>
          <w:rFonts w:ascii="Arial" w:cs="Arial" w:eastAsia="Arial" w:hAnsi="Arial"/>
          <w:color w:val="2D3748"/>
          <w:sz w:val="21"/>
          <w:szCs w:val="21"/>
        </w:rPr>
        <w:t xml:space="preserve">The clearing price is included in the impression claim and aggregated on-chain, giving advertisers market-rate feedback. Over time, they can see whether their bids are competitive without the protocol revealing individual user data.</w:t>
      </w:r>
    </w:p>
    <w:p>
      <w:pPr>
        <w:spacing w:after="40"/>
      </w:pPr>
    </w:p>
    <w:p>
      <w:pPr>
        <w:spacing w:before="200" w:after="100"/>
      </w:pPr>
      <w:r>
        <w:rPr>
          <w:rFonts w:ascii="Arial" w:cs="Arial" w:eastAsia="Arial" w:hAnsi="Arial"/>
          <w:b/>
          <w:bCs/>
          <w:color w:val="1A365D"/>
          <w:sz w:val="22"/>
          <w:szCs w:val="22"/>
        </w:rPr>
        <w:t xml:space="preserve">3.1.4 Viewability Monitor</w:t>
      </w:r>
    </w:p>
    <w:p>
      <w:pPr>
        <w:spacing w:after="120"/>
        <w:jc w:val="left"/>
      </w:pPr>
      <w:r>
        <w:rPr>
          <w:rFonts w:ascii="Arial" w:cs="Arial" w:eastAsia="Arial" w:hAnsi="Arial"/>
          <w:color w:val="2D3748"/>
          <w:sz w:val="21"/>
          <w:szCs w:val="21"/>
        </w:rPr>
        <w:t xml:space="preserve">Verifies that served ads actually appear in the user’s viewport and receive genuine attention. Only viewable impressions generate payable claims, protecting advertisers from paying for unseen ads.</w:t>
      </w:r>
    </w:p>
    <w:p>
      <w:pPr>
        <w:spacing w:after="40"/>
      </w:pPr>
    </w:p>
    <w:p>
      <w:pPr>
        <w:pStyle w:val="ListParagraph"/>
        <w:numPr>
          <w:ilvl w:val="0"/>
          <w:numId w:val="2"/>
        </w:numPr>
        <w:spacing w:after="60"/>
      </w:pPr>
      <w:r>
        <w:rPr>
          <w:rFonts w:ascii="Arial" w:cs="Arial" w:eastAsia="Arial" w:hAnsi="Arial"/>
          <w:b/>
          <w:bCs/>
          <w:color w:val="2D3748"/>
          <w:sz w:val="21"/>
          <w:szCs w:val="21"/>
        </w:rPr>
        <w:t xml:space="preserve">Viewport Detection: </w:t>
      </w:r>
      <w:r>
        <w:rPr>
          <w:rFonts w:ascii="Arial" w:cs="Arial" w:eastAsia="Arial" w:hAnsi="Arial"/>
          <w:color w:val="2D3748"/>
          <w:sz w:val="21"/>
          <w:szCs w:val="21"/>
        </w:rPr>
        <w:t xml:space="preserve">Uses the Intersection Observer API to track when the creative element enters and exits the viewport, measuring the percentage of pixels visible and cumulative in-view time.</w:t>
      </w:r>
    </w:p>
    <w:p>
      <w:pPr>
        <w:pStyle w:val="ListParagraph"/>
        <w:numPr>
          <w:ilvl w:val="0"/>
          <w:numId w:val="2"/>
        </w:numPr>
        <w:spacing w:after="60"/>
      </w:pPr>
      <w:r>
        <w:rPr>
          <w:rFonts w:ascii="Arial" w:cs="Arial" w:eastAsia="Arial" w:hAnsi="Arial"/>
          <w:b/>
          <w:bCs/>
          <w:color w:val="2D3748"/>
          <w:sz w:val="21"/>
          <w:szCs w:val="21"/>
        </w:rPr>
        <w:t xml:space="preserve">MRC Standards Compliance: </w:t>
      </w:r>
      <w:r>
        <w:rPr>
          <w:rFonts w:ascii="Arial" w:cs="Arial" w:eastAsia="Arial" w:hAnsi="Arial"/>
          <w:color w:val="2D3748"/>
          <w:sz w:val="21"/>
          <w:szCs w:val="21"/>
        </w:rPr>
        <w:t xml:space="preserve">Display ads: ≥50% of pixels in viewport for ≥1 continuous second. Video ads: ≥50% of pixels in viewport for ≥2 continuous seconds with audio playback (or user-initiated mute). Rich media: same as display, plus interaction event detection.</w:t>
      </w:r>
    </w:p>
    <w:p>
      <w:pPr>
        <w:pStyle w:val="ListParagraph"/>
        <w:numPr>
          <w:ilvl w:val="0"/>
          <w:numId w:val="2"/>
        </w:numPr>
        <w:spacing w:after="60"/>
      </w:pPr>
      <w:r>
        <w:rPr>
          <w:rFonts w:ascii="Arial" w:cs="Arial" w:eastAsia="Arial" w:hAnsi="Arial"/>
          <w:b/>
          <w:bCs/>
          <w:color w:val="2D3748"/>
          <w:sz w:val="21"/>
          <w:szCs w:val="21"/>
        </w:rPr>
        <w:t xml:space="preserve">Active Tab Detection: </w:t>
      </w:r>
      <w:r>
        <w:rPr>
          <w:rFonts w:ascii="Arial" w:cs="Arial" w:eastAsia="Arial" w:hAnsi="Arial"/>
          <w:color w:val="2D3748"/>
          <w:sz w:val="21"/>
          <w:szCs w:val="21"/>
        </w:rPr>
        <w:t xml:space="preserve">Uses the Page Visibility API to pause viewability timers when the tab loses focus. Ads in background tabs never accumulate viewable time.</w:t>
      </w:r>
    </w:p>
    <w:p>
      <w:pPr>
        <w:pStyle w:val="ListParagraph"/>
        <w:numPr>
          <w:ilvl w:val="0"/>
          <w:numId w:val="2"/>
        </w:numPr>
        <w:spacing w:after="60"/>
      </w:pPr>
      <w:r>
        <w:rPr>
          <w:rFonts w:ascii="Arial" w:cs="Arial" w:eastAsia="Arial" w:hAnsi="Arial"/>
          <w:b/>
          <w:bCs/>
          <w:color w:val="2D3748"/>
          <w:sz w:val="21"/>
          <w:szCs w:val="21"/>
        </w:rPr>
        <w:t xml:space="preserve">Viewability Attestation: </w:t>
      </w:r>
      <w:r>
        <w:rPr>
          <w:rFonts w:ascii="Arial" w:cs="Arial" w:eastAsia="Arial" w:hAnsi="Arial"/>
          <w:color w:val="2D3748"/>
          <w:sz w:val="21"/>
          <w:szCs w:val="21"/>
        </w:rPr>
        <w:t xml:space="preserve">When a creative meets viewability thresholds, the monitor generates a viewability attestation: {creative_element_hash, viewport_percentage, in_view_duration_ms, tab_was_active: bool, timestamp}. This attestation is included in the impression claim.</w:t>
      </w:r>
    </w:p>
    <w:p>
      <w:pPr>
        <w:pStyle w:val="ListParagraph"/>
        <w:numPr>
          <w:ilvl w:val="0"/>
          <w:numId w:val="2"/>
        </w:numPr>
        <w:spacing w:after="60"/>
      </w:pPr>
      <w:r>
        <w:rPr>
          <w:rFonts w:ascii="Arial" w:cs="Arial" w:eastAsia="Arial" w:hAnsi="Arial"/>
          <w:b/>
          <w:bCs/>
          <w:color w:val="2D3748"/>
          <w:sz w:val="21"/>
          <w:szCs w:val="21"/>
        </w:rPr>
        <w:t xml:space="preserve">Anti-Gaming: </w:t>
      </w:r>
      <w:r>
        <w:rPr>
          <w:rFonts w:ascii="Arial" w:cs="Arial" w:eastAsia="Arial" w:hAnsi="Arial"/>
          <w:color w:val="2D3748"/>
          <w:sz w:val="21"/>
          <w:szCs w:val="21"/>
        </w:rPr>
        <w:t xml:space="preserve">Detects anomalous patterns such as: all impressions exactly meeting minimum thresholds (suggests automation), impossibly fast sequential viewability events, and viewability during page-hidden state. Anomalous claims are flagged and may be rejected during settlement.</w:t>
      </w:r>
    </w:p>
    <w:p>
      <w:pPr>
        <w:spacing w:after="40"/>
      </w:pPr>
    </w:p>
    <w:p>
      <w:pPr>
        <w:spacing w:before="200" w:after="100"/>
      </w:pPr>
      <w:r>
        <w:rPr>
          <w:rFonts w:ascii="Arial" w:cs="Arial" w:eastAsia="Arial" w:hAnsi="Arial"/>
          <w:b/>
          <w:bCs/>
          <w:color w:val="1A365D"/>
          <w:sz w:val="22"/>
          <w:szCs w:val="22"/>
        </w:rPr>
        <w:t xml:space="preserve">3.1.5 Impression Tracker &amp; Claim Accumulator</w:t>
      </w:r>
    </w:p>
    <w:p>
      <w:pPr>
        <w:spacing w:after="120"/>
        <w:jc w:val="left"/>
      </w:pPr>
      <w:r>
        <w:rPr>
          <w:rFonts w:ascii="Arial" w:cs="Arial" w:eastAsia="Arial" w:hAnsi="Arial"/>
          <w:color w:val="2D3748"/>
          <w:sz w:val="21"/>
          <w:szCs w:val="21"/>
        </w:rPr>
        <w:t xml:space="preserve">Records verified impressions locally and batches them for on-chain settlement, with cryptographic replay protection.</w:t>
      </w:r>
    </w:p>
    <w:p>
      <w:pPr>
        <w:spacing w:after="40"/>
      </w:pPr>
    </w:p>
    <w:p>
      <w:pPr>
        <w:pStyle w:val="ListParagraph"/>
        <w:numPr>
          <w:ilvl w:val="0"/>
          <w:numId w:val="2"/>
        </w:numPr>
        <w:spacing w:after="60"/>
      </w:pPr>
      <w:r>
        <w:rPr>
          <w:rFonts w:ascii="Arial" w:cs="Arial" w:eastAsia="Arial" w:hAnsi="Arial"/>
          <w:b/>
          <w:bCs/>
          <w:color w:val="2D3748"/>
          <w:sz w:val="21"/>
          <w:szCs w:val="21"/>
        </w:rPr>
        <w:t xml:space="preserve">Impression Claim Structure: </w:t>
      </w:r>
      <w:r>
        <w:rPr>
          <w:rFonts w:ascii="Arial" w:cs="Arial" w:eastAsia="Arial" w:hAnsi="Arial"/>
          <w:color w:val="2D3748"/>
          <w:sz w:val="21"/>
          <w:szCs w:val="21"/>
        </w:rPr>
        <w:t xml:space="preserve">{campaign_id, publisher_id, timestamp, creative_cid, clearing_cpm, viewability_attestation, interest_commitment, nonce, previous_claim_hash, extension_version_hash, user_signature}.</w:t>
      </w:r>
    </w:p>
    <w:p>
      <w:pPr>
        <w:pStyle w:val="ListParagraph"/>
        <w:numPr>
          <w:ilvl w:val="0"/>
          <w:numId w:val="2"/>
        </w:numPr>
        <w:spacing w:after="60"/>
      </w:pPr>
      <w:r>
        <w:rPr>
          <w:rFonts w:ascii="Arial" w:cs="Arial" w:eastAsia="Arial" w:hAnsi="Arial"/>
          <w:b/>
          <w:bCs/>
          <w:color w:val="2D3748"/>
          <w:sz w:val="21"/>
          <w:szCs w:val="21"/>
        </w:rPr>
        <w:t xml:space="preserve">Replay Protection — Monotonic Nonce: </w:t>
      </w:r>
      <w:r>
        <w:rPr>
          <w:rFonts w:ascii="Arial" w:cs="Arial" w:eastAsia="Arial" w:hAnsi="Arial"/>
          <w:color w:val="2D3748"/>
          <w:sz w:val="21"/>
          <w:szCs w:val="21"/>
        </w:rPr>
        <w:t xml:space="preserve">Each account maintains a monotonically increasing claim counter. The on-chain settlement pallet stores the last-settled nonce per account and rejects any claim with nonce ≤ last_settled_nonce. The nonce is incremented per-claim, not per-batch.</w:t>
      </w:r>
    </w:p>
    <w:p>
      <w:pPr>
        <w:pStyle w:val="ListParagraph"/>
        <w:numPr>
          <w:ilvl w:val="0"/>
          <w:numId w:val="2"/>
        </w:numPr>
        <w:spacing w:after="60"/>
      </w:pPr>
      <w:r>
        <w:rPr>
          <w:rFonts w:ascii="Arial" w:cs="Arial" w:eastAsia="Arial" w:hAnsi="Arial"/>
          <w:b/>
          <w:bCs/>
          <w:color w:val="2D3748"/>
          <w:sz w:val="21"/>
          <w:szCs w:val="21"/>
        </w:rPr>
        <w:t xml:space="preserve">Replay Protection — Hash Chain: </w:t>
      </w:r>
      <w:r>
        <w:rPr>
          <w:rFonts w:ascii="Arial" w:cs="Arial" w:eastAsia="Arial" w:hAnsi="Arial"/>
          <w:color w:val="2D3748"/>
          <w:sz w:val="21"/>
          <w:szCs w:val="21"/>
        </w:rPr>
        <w:t xml:space="preserve">Each claim includes the hash of the previous claim (previous_claim_hash), forming a hash chain. This makes selective omission, reordering, or insertion of claims detectable during settlement. The genesis claim for each account uses a known zero hash.</w:t>
      </w:r>
    </w:p>
    <w:p>
      <w:pPr>
        <w:pStyle w:val="ListParagraph"/>
        <w:numPr>
          <w:ilvl w:val="0"/>
          <w:numId w:val="2"/>
        </w:numPr>
        <w:spacing w:after="60"/>
      </w:pPr>
      <w:r>
        <w:rPr>
          <w:rFonts w:ascii="Arial" w:cs="Arial" w:eastAsia="Arial" w:hAnsi="Arial"/>
          <w:b/>
          <w:bCs/>
          <w:color w:val="2D3748"/>
          <w:sz w:val="21"/>
          <w:szCs w:val="21"/>
        </w:rPr>
        <w:t xml:space="preserve">Interest Commitment: </w:t>
      </w:r>
      <w:r>
        <w:rPr>
          <w:rFonts w:ascii="Arial" w:cs="Arial" w:eastAsia="Arial" w:hAnsi="Arial"/>
          <w:color w:val="2D3748"/>
          <w:sz w:val="21"/>
          <w:szCs w:val="21"/>
        </w:rPr>
        <w:t xml:space="preserve">A Pedersen commitment to the user’s interest vector at the time of match. In the MVP phase, this is a hash commitment; upgraded to a full Pedersen commitment when ZK proofs are added.</w:t>
      </w:r>
    </w:p>
    <w:p>
      <w:pPr>
        <w:pStyle w:val="ListParagraph"/>
        <w:numPr>
          <w:ilvl w:val="0"/>
          <w:numId w:val="2"/>
        </w:numPr>
        <w:spacing w:after="60"/>
      </w:pPr>
      <w:r>
        <w:rPr>
          <w:rFonts w:ascii="Arial" w:cs="Arial" w:eastAsia="Arial" w:hAnsi="Arial"/>
          <w:b/>
          <w:bCs/>
          <w:color w:val="2D3748"/>
          <w:sz w:val="21"/>
          <w:szCs w:val="21"/>
        </w:rPr>
        <w:t xml:space="preserve">Extension Integrity: </w:t>
      </w:r>
      <w:r>
        <w:rPr>
          <w:rFonts w:ascii="Arial" w:cs="Arial" w:eastAsia="Arial" w:hAnsi="Arial"/>
          <w:color w:val="2D3748"/>
          <w:sz w:val="21"/>
          <w:szCs w:val="21"/>
        </w:rPr>
        <w:t xml:space="preserve">Each claim includes extension_version_hash — a hash of the running extension’s source code. This allows on-chain verification that the claim was generated by a known-good extension version (see Section 3.3).</w:t>
      </w:r>
    </w:p>
    <w:p>
      <w:pPr>
        <w:pStyle w:val="ListParagraph"/>
        <w:numPr>
          <w:ilvl w:val="0"/>
          <w:numId w:val="2"/>
        </w:numPr>
        <w:spacing w:after="60"/>
      </w:pPr>
      <w:r>
        <w:rPr>
          <w:rFonts w:ascii="Arial" w:cs="Arial" w:eastAsia="Arial" w:hAnsi="Arial"/>
          <w:b/>
          <w:bCs/>
          <w:color w:val="2D3748"/>
          <w:sz w:val="21"/>
          <w:szCs w:val="21"/>
        </w:rPr>
        <w:t xml:space="preserve">Batch Submission: </w:t>
      </w:r>
      <w:r>
        <w:rPr>
          <w:rFonts w:ascii="Arial" w:cs="Arial" w:eastAsia="Arial" w:hAnsi="Arial"/>
          <w:color w:val="2D3748"/>
          <w:sz w:val="21"/>
          <w:szCs w:val="21"/>
        </w:rPr>
        <w:t xml:space="preserve">Claims accumulate locally until a threshold (e.g., 50 claims or 24 hours) triggers a batch submission as an extrinsic to the DATUM chain. The batch includes the nonce range and the head of the hash chain for integrity verification.</w:t>
      </w:r>
    </w:p>
    <w:p>
      <w:pPr>
        <w:spacing w:after="40"/>
      </w:pPr>
    </w:p>
    <w:p>
      <w:pPr>
        <w:spacing w:before="200" w:after="100"/>
      </w:pPr>
      <w:r>
        <w:rPr>
          <w:rFonts w:ascii="Arial" w:cs="Arial" w:eastAsia="Arial" w:hAnsi="Arial"/>
          <w:b/>
          <w:bCs/>
          <w:color w:val="1A365D"/>
          <w:sz w:val="22"/>
          <w:szCs w:val="22"/>
        </w:rPr>
        <w:t xml:space="preserve">3.1.6 Creative Pre-Fetch &amp; Cache Manager</w:t>
      </w:r>
    </w:p>
    <w:p>
      <w:pPr>
        <w:spacing w:after="120"/>
        <w:jc w:val="left"/>
      </w:pPr>
      <w:r>
        <w:rPr>
          <w:rFonts w:ascii="Arial" w:cs="Arial" w:eastAsia="Arial" w:hAnsi="Arial"/>
          <w:color w:val="2D3748"/>
          <w:sz w:val="21"/>
          <w:szCs w:val="21"/>
        </w:rPr>
        <w:t xml:space="preserve">Proactively fetches and caches ad creatives to eliminate IPFS latency at impression time. IPFS first-fetch latency (500ms–5s) is unacceptable for ad delivery, which targets sub-200ms.</w:t>
      </w:r>
    </w:p>
    <w:p>
      <w:pPr>
        <w:spacing w:after="40"/>
      </w:pPr>
    </w:p>
    <w:p>
      <w:pPr>
        <w:pStyle w:val="ListParagraph"/>
        <w:numPr>
          <w:ilvl w:val="0"/>
          <w:numId w:val="2"/>
        </w:numPr>
        <w:spacing w:after="60"/>
      </w:pPr>
      <w:r>
        <w:rPr>
          <w:rFonts w:ascii="Arial" w:cs="Arial" w:eastAsia="Arial" w:hAnsi="Arial"/>
          <w:b/>
          <w:bCs/>
          <w:color w:val="2D3748"/>
          <w:sz w:val="21"/>
          <w:szCs w:val="21"/>
        </w:rPr>
        <w:t xml:space="preserve">Background Sync: </w:t>
      </w:r>
      <w:r>
        <w:rPr>
          <w:rFonts w:ascii="Arial" w:cs="Arial" w:eastAsia="Arial" w:hAnsi="Arial"/>
          <w:color w:val="2D3748"/>
          <w:sz w:val="21"/>
          <w:szCs w:val="21"/>
        </w:rPr>
        <w:t xml:space="preserve">A background job runs during browser idle time, fetching creatives for all campaigns matching the user’s current interest profile. Creatives are stored in the extension’s Cache API storage with their CID as the key.</w:t>
      </w:r>
    </w:p>
    <w:p>
      <w:pPr>
        <w:pStyle w:val="ListParagraph"/>
        <w:numPr>
          <w:ilvl w:val="0"/>
          <w:numId w:val="2"/>
        </w:numPr>
        <w:spacing w:after="60"/>
      </w:pPr>
      <w:r>
        <w:rPr>
          <w:rFonts w:ascii="Arial" w:cs="Arial" w:eastAsia="Arial" w:hAnsi="Arial"/>
          <w:b/>
          <w:bCs/>
          <w:color w:val="2D3748"/>
          <w:sz w:val="21"/>
          <w:szCs w:val="21"/>
        </w:rPr>
        <w:t xml:space="preserve">Cache Priority: </w:t>
      </w:r>
      <w:r>
        <w:rPr>
          <w:rFonts w:ascii="Arial" w:cs="Arial" w:eastAsia="Arial" w:hAnsi="Arial"/>
          <w:color w:val="2D3748"/>
          <w:sz w:val="21"/>
          <w:szCs w:val="21"/>
        </w:rPr>
        <w:t xml:space="preserve">Campaigns are prioritized for pre-fetch by: (1) bid CPM (higher-paying campaigns first), (2) match confidence (stronger interest match), (3) creative size (smaller first for faster cache population).</w:t>
      </w:r>
    </w:p>
    <w:p>
      <w:pPr>
        <w:pStyle w:val="ListParagraph"/>
        <w:numPr>
          <w:ilvl w:val="0"/>
          <w:numId w:val="2"/>
        </w:numPr>
        <w:spacing w:after="60"/>
      </w:pPr>
      <w:r>
        <w:rPr>
          <w:rFonts w:ascii="Arial" w:cs="Arial" w:eastAsia="Arial" w:hAnsi="Arial"/>
          <w:b/>
          <w:bCs/>
          <w:color w:val="2D3748"/>
          <w:sz w:val="21"/>
          <w:szCs w:val="21"/>
        </w:rPr>
        <w:t xml:space="preserve">Storage Budget: </w:t>
      </w:r>
      <w:r>
        <w:rPr>
          <w:rFonts w:ascii="Arial" w:cs="Arial" w:eastAsia="Arial" w:hAnsi="Arial"/>
          <w:color w:val="2D3748"/>
          <w:sz w:val="21"/>
          <w:szCs w:val="21"/>
        </w:rPr>
        <w:t xml:space="preserve">Configurable cache size limit (default 200MB). When the limit is reached, lowest-priority creatives are evicted. Video creatives are capped at 15MB each.</w:t>
      </w:r>
    </w:p>
    <w:p>
      <w:pPr>
        <w:pStyle w:val="ListParagraph"/>
        <w:numPr>
          <w:ilvl w:val="0"/>
          <w:numId w:val="2"/>
        </w:numPr>
        <w:spacing w:after="60"/>
      </w:pPr>
      <w:r>
        <w:rPr>
          <w:rFonts w:ascii="Arial" w:cs="Arial" w:eastAsia="Arial" w:hAnsi="Arial"/>
          <w:b/>
          <w:bCs/>
          <w:color w:val="2D3748"/>
          <w:sz w:val="21"/>
          <w:szCs w:val="21"/>
        </w:rPr>
        <w:t xml:space="preserve">CDN Fallback: </w:t>
      </w:r>
      <w:r>
        <w:rPr>
          <w:rFonts w:ascii="Arial" w:cs="Arial" w:eastAsia="Arial" w:hAnsi="Arial"/>
          <w:color w:val="2D3748"/>
          <w:sz w:val="21"/>
          <w:szCs w:val="21"/>
        </w:rPr>
        <w:t xml:space="preserve">Campaign metadata includes an optional cdn_url alongside the IPFS CID. The extension can fetch from the CDN for speed, then verify the content hash matches the CID. If the hash doesn’t match, the creative is rejected and fetched from IPFS instead. This provides fast delivery with trustless verification.</w:t>
      </w:r>
    </w:p>
    <w:p>
      <w:pPr>
        <w:pStyle w:val="ListParagraph"/>
        <w:numPr>
          <w:ilvl w:val="0"/>
          <w:numId w:val="2"/>
        </w:numPr>
        <w:spacing w:after="60"/>
      </w:pPr>
      <w:r>
        <w:rPr>
          <w:rFonts w:ascii="Arial" w:cs="Arial" w:eastAsia="Arial" w:hAnsi="Arial"/>
          <w:b/>
          <w:bCs/>
          <w:color w:val="2D3748"/>
          <w:sz w:val="21"/>
          <w:szCs w:val="21"/>
        </w:rPr>
        <w:t xml:space="preserve">Cache Invalidation: </w:t>
      </w:r>
      <w:r>
        <w:rPr>
          <w:rFonts w:ascii="Arial" w:cs="Arial" w:eastAsia="Arial" w:hAnsi="Arial"/>
          <w:color w:val="2D3748"/>
          <w:sz w:val="21"/>
          <w:szCs w:val="21"/>
        </w:rPr>
        <w:t xml:space="preserve">When a campaign ends, is terminated, or the user’s interest profile shifts away from a campaign’s targeting, the corresponding creative is evicted.</w:t>
      </w:r>
    </w:p>
    <w:p>
      <w:pPr>
        <w:spacing w:after="40"/>
      </w:pPr>
    </w:p>
    <w:p>
      <w:pPr>
        <w:spacing w:before="200" w:after="100"/>
      </w:pPr>
      <w:r>
        <w:rPr>
          <w:rFonts w:ascii="Arial" w:cs="Arial" w:eastAsia="Arial" w:hAnsi="Arial"/>
          <w:b/>
          <w:bCs/>
          <w:color w:val="1A365D"/>
          <w:sz w:val="22"/>
          <w:szCs w:val="22"/>
        </w:rPr>
        <w:t xml:space="preserve">3.1.7 ZK Proof Engine (Post-MVP)</w:t>
      </w:r>
    </w:p>
    <w:p>
      <w:pPr>
        <w:spacing w:after="120"/>
        <w:jc w:val="left"/>
      </w:pPr>
      <w:r>
        <w:rPr>
          <w:rFonts w:ascii="Arial" w:cs="Arial" w:eastAsia="Arial" w:hAnsi="Arial"/>
          <w:color w:val="2D3748"/>
          <w:sz w:val="21"/>
          <w:szCs w:val="21"/>
        </w:rPr>
        <w:t xml:space="preserve">The planned upgrade path for cryptographic assurance. Instead of self-reported matches, the extension generates a zero-knowledge proof that the user’s interest profile satisfies the campaign’s targeting criteria.</w:t>
      </w:r>
    </w:p>
    <w:p>
      <w:pPr>
        <w:spacing w:after="40"/>
      </w:pPr>
    </w:p>
    <w:p>
      <w:pPr>
        <w:pStyle w:val="ListParagraph"/>
        <w:numPr>
          <w:ilvl w:val="0"/>
          <w:numId w:val="2"/>
        </w:numPr>
        <w:spacing w:after="60"/>
      </w:pPr>
      <w:r>
        <w:rPr>
          <w:rFonts w:ascii="Arial" w:cs="Arial" w:eastAsia="Arial" w:hAnsi="Arial"/>
          <w:b/>
          <w:bCs/>
          <w:color w:val="2D3748"/>
          <w:sz w:val="21"/>
          <w:szCs w:val="21"/>
        </w:rPr>
        <w:t xml:space="preserve">Circuit Design: </w:t>
      </w:r>
      <w:r>
        <w:rPr>
          <w:rFonts w:ascii="Arial" w:cs="Arial" w:eastAsia="Arial" w:hAnsi="Arial"/>
          <w:color w:val="2D3748"/>
          <w:sz w:val="21"/>
          <w:szCs w:val="21"/>
        </w:rPr>
        <w:t xml:space="preserve">A ZK circuit that takes as private input the user’s interest vector and as public input the campaign’s targeting predicate, and proves that the predicate evaluates to true.</w:t>
      </w:r>
    </w:p>
    <w:p>
      <w:pPr>
        <w:pStyle w:val="ListParagraph"/>
        <w:numPr>
          <w:ilvl w:val="0"/>
          <w:numId w:val="2"/>
        </w:numPr>
        <w:spacing w:after="60"/>
      </w:pPr>
      <w:r>
        <w:rPr>
          <w:rFonts w:ascii="Arial" w:cs="Arial" w:eastAsia="Arial" w:hAnsi="Arial"/>
          <w:b/>
          <w:bCs/>
          <w:color w:val="2D3748"/>
          <w:sz w:val="21"/>
          <w:szCs w:val="21"/>
        </w:rPr>
        <w:t xml:space="preserve">Proving System: </w:t>
      </w:r>
      <w:r>
        <w:rPr>
          <w:rFonts w:ascii="Arial" w:cs="Arial" w:eastAsia="Arial" w:hAnsi="Arial"/>
          <w:color w:val="2D3748"/>
          <w:sz w:val="21"/>
          <w:szCs w:val="21"/>
        </w:rPr>
        <w:t xml:space="preserve">Groth16 or PLONK via the Arkworks library (Rust compiled to WASM for in-browser execution). PLONK is preferred for its universal trusted setup.</w:t>
      </w:r>
    </w:p>
    <w:p>
      <w:pPr>
        <w:pStyle w:val="ListParagraph"/>
        <w:numPr>
          <w:ilvl w:val="0"/>
          <w:numId w:val="2"/>
        </w:numPr>
        <w:spacing w:after="60"/>
      </w:pPr>
      <w:r>
        <w:rPr>
          <w:rFonts w:ascii="Arial" w:cs="Arial" w:eastAsia="Arial" w:hAnsi="Arial"/>
          <w:b/>
          <w:bCs/>
          <w:color w:val="2D3748"/>
          <w:sz w:val="21"/>
          <w:szCs w:val="21"/>
        </w:rPr>
        <w:t xml:space="preserve">Verification: </w:t>
      </w:r>
      <w:r>
        <w:rPr>
          <w:rFonts w:ascii="Arial" w:cs="Arial" w:eastAsia="Arial" w:hAnsi="Arial"/>
          <w:color w:val="2D3748"/>
          <w:sz w:val="21"/>
          <w:szCs w:val="21"/>
        </w:rPr>
        <w:t xml:space="preserve">Proofs are submitted with impression claims. The DATUM chain service verifies proofs during settlement. Verification is cheap (milliseconds) even though proof generation is expensive (seconds).</w:t>
      </w:r>
    </w:p>
    <w:p>
      <w:pPr>
        <w:pStyle w:val="ListParagraph"/>
        <w:numPr>
          <w:ilvl w:val="0"/>
          <w:numId w:val="2"/>
        </w:numPr>
        <w:spacing w:after="60"/>
      </w:pPr>
      <w:r>
        <w:rPr>
          <w:rFonts w:ascii="Arial" w:cs="Arial" w:eastAsia="Arial" w:hAnsi="Arial"/>
          <w:b/>
          <w:bCs/>
          <w:color w:val="2D3748"/>
          <w:sz w:val="21"/>
          <w:szCs w:val="21"/>
        </w:rPr>
        <w:t xml:space="preserve">Key Study Resources: </w:t>
      </w:r>
      <w:r>
        <w:rPr>
          <w:rFonts w:ascii="Arial" w:cs="Arial" w:eastAsia="Arial" w:hAnsi="Arial"/>
          <w:color w:val="2D3748"/>
          <w:sz w:val="21"/>
          <w:szCs w:val="21"/>
        </w:rPr>
        <w:t xml:space="preserve">Arkworks library documentation, Circom/snarkjs for prototyping, the Semaphore protocol for group membership proofs, Vitalik Buterin’s zk-SNARK explainer series.</w:t>
      </w:r>
    </w:p>
    <w:p>
      <w:pPr>
        <w:spacing w:after="60"/>
      </w:pPr>
    </w:p>
    <w:p>
      <w:pPr>
        <w:pStyle w:val="Heading2"/>
        <w:spacing w:before="300" w:after="150"/>
      </w:pPr>
      <w:r>
        <w:rPr>
          <w:rFonts w:ascii="Arial" w:cs="Arial" w:eastAsia="Arial" w:hAnsi="Arial"/>
          <w:b/>
          <w:bCs/>
          <w:color w:val="2B6CB0"/>
          <w:sz w:val="26"/>
          <w:szCs w:val="26"/>
        </w:rPr>
        <w:t xml:space="preserve">3.2 Extension Security Model</w:t>
      </w:r>
    </w:p>
    <w:p>
      <w:pPr>
        <w:pStyle w:val="ListParagraph"/>
        <w:numPr>
          <w:ilvl w:val="0"/>
          <w:numId w:val="2"/>
        </w:numPr>
        <w:spacing w:after="60"/>
      </w:pPr>
      <w:r>
        <w:rPr>
          <w:rFonts w:ascii="Arial" w:cs="Arial" w:eastAsia="Arial" w:hAnsi="Arial"/>
          <w:b/>
          <w:bCs/>
          <w:color w:val="2D3748"/>
          <w:sz w:val="21"/>
          <w:szCs w:val="21"/>
        </w:rPr>
        <w:t xml:space="preserve">Content Script: </w:t>
      </w:r>
      <w:r>
        <w:rPr>
          <w:rFonts w:ascii="Arial" w:cs="Arial" w:eastAsia="Arial" w:hAnsi="Arial"/>
          <w:color w:val="2D3748"/>
          <w:sz w:val="21"/>
          <w:szCs w:val="21"/>
        </w:rPr>
        <w:t xml:space="preserve">Injected into pages. Can read DOM for page classification and viewability monitoring. Cannot access extension storage directly.</w:t>
      </w:r>
    </w:p>
    <w:p>
      <w:pPr>
        <w:pStyle w:val="ListParagraph"/>
        <w:numPr>
          <w:ilvl w:val="0"/>
          <w:numId w:val="2"/>
        </w:numPr>
        <w:spacing w:after="60"/>
      </w:pPr>
      <w:r>
        <w:rPr>
          <w:rFonts w:ascii="Arial" w:cs="Arial" w:eastAsia="Arial" w:hAnsi="Arial"/>
          <w:b/>
          <w:bCs/>
          <w:color w:val="2D3748"/>
          <w:sz w:val="21"/>
          <w:szCs w:val="21"/>
        </w:rPr>
        <w:t xml:space="preserve">Background Service Worker: </w:t>
      </w:r>
      <w:r>
        <w:rPr>
          <w:rFonts w:ascii="Arial" w:cs="Arial" w:eastAsia="Arial" w:hAnsi="Arial"/>
          <w:color w:val="2D3748"/>
          <w:sz w:val="21"/>
          <w:szCs w:val="21"/>
        </w:rPr>
        <w:t xml:space="preserve">Runs the classifier, auction engine, matcher, and claim accumulator. Has IndexedDB and Cache API access. Makes network requests only to IPFS gateways, optional CDN endpoints (for creative fetch), and Polkadot RPC nodes.</w:t>
      </w:r>
    </w:p>
    <w:p>
      <w:pPr>
        <w:pStyle w:val="ListParagraph"/>
        <w:numPr>
          <w:ilvl w:val="0"/>
          <w:numId w:val="2"/>
        </w:numPr>
        <w:spacing w:after="60"/>
      </w:pPr>
      <w:r>
        <w:rPr>
          <w:rFonts w:ascii="Arial" w:cs="Arial" w:eastAsia="Arial" w:hAnsi="Arial"/>
          <w:b/>
          <w:bCs/>
          <w:color w:val="2D3748"/>
          <w:sz w:val="21"/>
          <w:szCs w:val="21"/>
        </w:rPr>
        <w:t xml:space="preserve">Popup/Options UI: </w:t>
      </w:r>
      <w:r>
        <w:rPr>
          <w:rFonts w:ascii="Arial" w:cs="Arial" w:eastAsia="Arial" w:hAnsi="Arial"/>
          <w:color w:val="2D3748"/>
          <w:sz w:val="21"/>
          <w:szCs w:val="21"/>
        </w:rPr>
        <w:t xml:space="preserve">User-facing interface for profile management, earnings dashboard, viewability statistics, and settings.</w:t>
      </w:r>
    </w:p>
    <w:p>
      <w:pPr>
        <w:pStyle w:val="ListParagraph"/>
        <w:numPr>
          <w:ilvl w:val="0"/>
          <w:numId w:val="2"/>
        </w:numPr>
        <w:spacing w:after="60"/>
      </w:pPr>
      <w:r>
        <w:rPr>
          <w:rFonts w:ascii="Arial" w:cs="Arial" w:eastAsia="Arial" w:hAnsi="Arial"/>
          <w:b/>
          <w:bCs/>
          <w:color w:val="2D3748"/>
          <w:sz w:val="21"/>
          <w:szCs w:val="21"/>
        </w:rPr>
        <w:t xml:space="preserve">No Telemetry: </w:t>
      </w:r>
      <w:r>
        <w:rPr>
          <w:rFonts w:ascii="Arial" w:cs="Arial" w:eastAsia="Arial" w:hAnsi="Arial"/>
          <w:color w:val="2D3748"/>
          <w:sz w:val="21"/>
          <w:szCs w:val="21"/>
        </w:rPr>
        <w:t xml:space="preserve">The extension sends zero analytics or telemetry data. All metrics are local-only.</w:t>
      </w:r>
    </w:p>
    <w:p>
      <w:pPr>
        <w:spacing w:after="60"/>
      </w:pPr>
    </w:p>
    <w:p>
      <w:pPr>
        <w:pStyle w:val="Heading2"/>
        <w:spacing w:before="300" w:after="150"/>
      </w:pPr>
      <w:r>
        <w:rPr>
          <w:rFonts w:ascii="Arial" w:cs="Arial" w:eastAsia="Arial" w:hAnsi="Arial"/>
          <w:b/>
          <w:bCs/>
          <w:color w:val="2B6CB0"/>
          <w:sz w:val="26"/>
          <w:szCs w:val="26"/>
        </w:rPr>
        <w:t xml:space="preserve">3.3 Extension Integrity &amp; Update Governance</w:t>
      </w:r>
    </w:p>
    <w:p>
      <w:pPr>
        <w:spacing w:after="120"/>
        <w:jc w:val="left"/>
      </w:pPr>
      <w:r>
        <w:rPr>
          <w:rFonts w:ascii="Arial" w:cs="Arial" w:eastAsia="Arial" w:hAnsi="Arial"/>
          <w:color w:val="2D3748"/>
          <w:sz w:val="21"/>
          <w:szCs w:val="21"/>
        </w:rPr>
        <w:t xml:space="preserve">Since the extension is the entire trust boundary in the MVP (before ZK proofs), its integrity is critical. A compromised or modified extension could generate false impression claims and drain campaign escrows.</w:t>
      </w:r>
    </w:p>
    <w:p>
      <w:pPr>
        <w:spacing w:after="40"/>
      </w:pPr>
    </w:p>
    <w:p>
      <w:pPr>
        <w:pStyle w:val="ListParagraph"/>
        <w:numPr>
          <w:ilvl w:val="0"/>
          <w:numId w:val="2"/>
        </w:numPr>
        <w:spacing w:after="60"/>
      </w:pPr>
      <w:r>
        <w:rPr>
          <w:rFonts w:ascii="Arial" w:cs="Arial" w:eastAsia="Arial" w:hAnsi="Arial"/>
          <w:b/>
          <w:bCs/>
          <w:color w:val="2D3748"/>
          <w:sz w:val="21"/>
          <w:szCs w:val="21"/>
        </w:rPr>
        <w:t xml:space="preserve">Source Code Hash Registry: </w:t>
      </w:r>
      <w:r>
        <w:rPr>
          <w:rFonts w:ascii="Arial" w:cs="Arial" w:eastAsia="Arial" w:hAnsi="Arial"/>
          <w:color w:val="2D3748"/>
          <w:sz w:val="21"/>
          <w:szCs w:val="21"/>
        </w:rPr>
        <w:t xml:space="preserve">Each official extension release is hashed (SHA-256 of the complete extension bundle) and the hash is published on-chain via a governance extrinsic. The on-chain registry maps version numbers to their expected hashes.</w:t>
      </w:r>
    </w:p>
    <w:p>
      <w:pPr>
        <w:pStyle w:val="ListParagraph"/>
        <w:numPr>
          <w:ilvl w:val="0"/>
          <w:numId w:val="2"/>
        </w:numPr>
        <w:spacing w:after="60"/>
      </w:pPr>
      <w:r>
        <w:rPr>
          <w:rFonts w:ascii="Arial" w:cs="Arial" w:eastAsia="Arial" w:hAnsi="Arial"/>
          <w:b/>
          <w:bCs/>
          <w:color w:val="2D3748"/>
          <w:sz w:val="21"/>
          <w:szCs w:val="21"/>
        </w:rPr>
        <w:t xml:space="preserve">Self-Attestation: </w:t>
      </w:r>
      <w:r>
        <w:rPr>
          <w:rFonts w:ascii="Arial" w:cs="Arial" w:eastAsia="Arial" w:hAnsi="Arial"/>
          <w:color w:val="2D3748"/>
          <w:sz w:val="21"/>
          <w:szCs w:val="21"/>
        </w:rPr>
        <w:t xml:space="preserve">The extension includes its own version hash in every impression claim (extension_version_hash field). During settlement, the chain can optionally verify this hash against the registry. In the MVP, this is logged but not enforced; post-MVP, claims from unrecognized extension versions can be rejected or earn reduced rates.</w:t>
      </w:r>
    </w:p>
    <w:p>
      <w:pPr>
        <w:pStyle w:val="ListParagraph"/>
        <w:numPr>
          <w:ilvl w:val="0"/>
          <w:numId w:val="2"/>
        </w:numPr>
        <w:spacing w:after="60"/>
      </w:pPr>
      <w:r>
        <w:rPr>
          <w:rFonts w:ascii="Arial" w:cs="Arial" w:eastAsia="Arial" w:hAnsi="Arial"/>
          <w:b/>
          <w:bCs/>
          <w:color w:val="2D3748"/>
          <w:sz w:val="21"/>
          <w:szCs w:val="21"/>
        </w:rPr>
        <w:t xml:space="preserve">Open Source Requirement: </w:t>
      </w:r>
      <w:r>
        <w:rPr>
          <w:rFonts w:ascii="Arial" w:cs="Arial" w:eastAsia="Arial" w:hAnsi="Arial"/>
          <w:color w:val="2D3748"/>
          <w:sz w:val="21"/>
          <w:szCs w:val="21"/>
        </w:rPr>
        <w:t xml:space="preserve">The extension source code is published publicly so that anyone can verify the hash corresponds to the expected behavior. Reproducible builds ensure the published hash matches the distributed binary.</w:t>
      </w:r>
    </w:p>
    <w:p>
      <w:pPr>
        <w:pStyle w:val="ListParagraph"/>
        <w:numPr>
          <w:ilvl w:val="0"/>
          <w:numId w:val="2"/>
        </w:numPr>
        <w:spacing w:after="60"/>
      </w:pPr>
      <w:r>
        <w:rPr>
          <w:rFonts w:ascii="Arial" w:cs="Arial" w:eastAsia="Arial" w:hAnsi="Arial"/>
          <w:b/>
          <w:bCs/>
          <w:color w:val="2D3748"/>
          <w:sz w:val="21"/>
          <w:szCs w:val="21"/>
        </w:rPr>
        <w:t xml:space="preserve">Update Governance: </w:t>
      </w:r>
      <w:r>
        <w:rPr>
          <w:rFonts w:ascii="Arial" w:cs="Arial" w:eastAsia="Arial" w:hAnsi="Arial"/>
          <w:color w:val="2D3748"/>
          <w:sz w:val="21"/>
          <w:szCs w:val="21"/>
        </w:rPr>
        <w:t xml:space="preserve">Extension updates that change claim-generation logic require a governance proposal (protocol governance, not campaign governance) before the new version hash is added to the registry. This prevents a compromised developer account from pushing a malicious update unilaterally.</w:t>
      </w:r>
    </w:p>
    <w:p>
      <w:pPr>
        <w:pStyle w:val="ListParagraph"/>
        <w:numPr>
          <w:ilvl w:val="0"/>
          <w:numId w:val="2"/>
        </w:numPr>
        <w:spacing w:after="60"/>
      </w:pPr>
      <w:r>
        <w:rPr>
          <w:rFonts w:ascii="Arial" w:cs="Arial" w:eastAsia="Arial" w:hAnsi="Arial"/>
          <w:b/>
          <w:bCs/>
          <w:color w:val="2D3748"/>
          <w:sz w:val="21"/>
          <w:szCs w:val="21"/>
        </w:rPr>
        <w:t xml:space="preserve">Manifest V3 Limitations: </w:t>
      </w:r>
      <w:r>
        <w:rPr>
          <w:rFonts w:ascii="Arial" w:cs="Arial" w:eastAsia="Arial" w:hAnsi="Arial"/>
          <w:color w:val="2D3748"/>
          <w:sz w:val="21"/>
          <w:szCs w:val="21"/>
        </w:rPr>
        <w:t xml:space="preserve">Chrome’s Manifest V3 restricts remote code execution, which actually benefits DATUM: the extension cannot load external scripts that could modify claim logic at runtime. Firefox compatibility via WebExtensions API is a secondary target; Safari is deferred post-MVP.</w:t>
      </w:r>
    </w:p>
    <w:p>
      <w:r>
        <w:br w:type="page"/>
      </w:r>
    </w:p>
    <w:p>
      <w:pPr>
        <w:pStyle w:val="Heading1"/>
        <w:spacing w:before="400" w:after="200"/>
      </w:pPr>
      <w:r>
        <w:rPr>
          <w:rFonts w:ascii="Arial" w:cs="Arial" w:eastAsia="Arial" w:hAnsi="Arial"/>
          <w:b/>
          <w:bCs/>
          <w:color w:val="1A365D"/>
          <w:sz w:val="32"/>
          <w:szCs w:val="32"/>
        </w:rPr>
        <w:t xml:space="preserve">4. On-Chain Architecture (DATUM Chain Service)</w:t>
      </w:r>
    </w:p>
    <w:p>
      <w:pPr>
        <w:spacing w:after="120"/>
        <w:jc w:val="left"/>
      </w:pPr>
      <w:r>
        <w:rPr>
          <w:rFonts w:ascii="Arial" w:cs="Arial" w:eastAsia="Arial" w:hAnsi="Arial"/>
          <w:color w:val="2D3748"/>
          <w:sz w:val="21"/>
          <w:szCs w:val="21"/>
        </w:rPr>
        <w:t xml:space="preserve">The DATUM chain service manages campaign lifecycle, escrow, settlement, governance, analytics, and protocol upgrades. For the MVP, this is implemented as a Substrate parachain with custom pallets. The architecture is designed for eventual migration to a JAM service.</w:t>
      </w:r>
    </w:p>
    <w:p>
      <w:pPr>
        <w:spacing w:after="60"/>
      </w:pPr>
    </w:p>
    <w:p>
      <w:pPr>
        <w:pStyle w:val="Heading2"/>
        <w:spacing w:before="300" w:after="150"/>
      </w:pPr>
      <w:r>
        <w:rPr>
          <w:rFonts w:ascii="Arial" w:cs="Arial" w:eastAsia="Arial" w:hAnsi="Arial"/>
          <w:b/>
          <w:bCs/>
          <w:color w:val="2B6CB0"/>
          <w:sz w:val="26"/>
          <w:szCs w:val="26"/>
        </w:rPr>
        <w:t xml:space="preserve">4.1 Pallet Design</w:t>
      </w:r>
    </w:p>
    <w:p>
      <w:pPr>
        <w:spacing w:after="40"/>
      </w:pPr>
    </w:p>
    <w:p>
      <w:pPr>
        <w:spacing w:before="200" w:after="100"/>
      </w:pPr>
      <w:r>
        <w:rPr>
          <w:rFonts w:ascii="Arial" w:cs="Arial" w:eastAsia="Arial" w:hAnsi="Arial"/>
          <w:b/>
          <w:bCs/>
          <w:color w:val="1A365D"/>
          <w:sz w:val="22"/>
          <w:szCs w:val="22"/>
        </w:rPr>
        <w:t xml:space="preserve">4.1.1 pallet-campaigns</w:t>
      </w:r>
    </w:p>
    <w:p>
      <w:pPr>
        <w:spacing w:after="120"/>
        <w:jc w:val="left"/>
      </w:pPr>
      <w:r>
        <w:rPr>
          <w:rFonts w:ascii="Arial" w:cs="Arial" w:eastAsia="Arial" w:hAnsi="Arial"/>
          <w:color w:val="2D3748"/>
          <w:sz w:val="21"/>
          <w:szCs w:val="21"/>
        </w:rPr>
        <w:t xml:space="preserve">Manages the full campaign lifecycle from creation through completion or termination.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State</w:t>
            </w:r>
          </w:p>
        </w:tc>
        <w:tc>
          <w:tcPr>
            <w:tcW w:type="dxa" w:w="73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Pending</w:t>
            </w:r>
          </w:p>
        </w:tc>
        <w:tc>
          <w:tcPr>
            <w:tcW w:type="dxa" w:w="73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Campaign created, creatives uploaded to IPFS, targeting criteria and bid CPM set. Awaiting sufficient aye conviction (including content review) to activate.</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Active</w:t>
            </w:r>
          </w:p>
        </w:tc>
        <w:tc>
          <w:tcPr>
            <w:tcW w:type="dxa" w:w="7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Conviction threshold met with content review confirmed. Campaign is serving impressions and participating in local auctions.</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Paused</w:t>
            </w:r>
          </w:p>
        </w:tc>
        <w:tc>
          <w:tcPr>
            <w:tcW w:type="dxa" w:w="73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Advertiser-initiated pause. No impressions served but escrow and votes remain.</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Terminated</w:t>
            </w:r>
          </w:p>
        </w:tc>
        <w:tc>
          <w:tcPr>
            <w:tcW w:type="dxa" w:w="73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Nay conviction exceeded threshold. Penalty applied, remaining funds returned.</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Completed</w:t>
            </w:r>
          </w:p>
        </w:tc>
        <w:tc>
          <w:tcPr>
            <w:tcW w:type="dxa" w:w="73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Campaign budget exhausted or end date reached. Normal completion.</w:t>
            </w:r>
          </w:p>
        </w:tc>
      </w:tr>
    </w:tbl>
    <w:p>
      <w:pPr>
        <w:spacing w:after="40"/>
      </w:pPr>
    </w:p>
    <w:p>
      <w:pPr>
        <w:spacing w:after="120"/>
        <w:jc w:val="left"/>
      </w:pPr>
      <w:r>
        <w:rPr>
          <w:rFonts w:ascii="Arial" w:cs="Arial" w:eastAsia="Arial" w:hAnsi="Arial"/>
          <w:b/>
          <w:bCs/>
          <w:color w:val="2D3748"/>
          <w:sz w:val="21"/>
          <w:szCs w:val="21"/>
        </w:rPr>
        <w:t xml:space="preserve">Key Storage Items: </w:t>
      </w:r>
      <w:r>
        <w:rPr>
          <w:rFonts w:ascii="Arial" w:cs="Arial" w:eastAsia="Arial" w:hAnsi="Arial"/>
          <w:color w:val="2D3748"/>
          <w:sz w:val="21"/>
          <w:szCs w:val="21"/>
        </w:rPr>
        <w:t xml:space="preserve">Campaign struct (advertiser account, budget, spent, targeting criteria, bid CPM, creative CIDs, cdn_urls, start/end dates, state, aye reward pool, content_review_count), campaign index by state, campaign index by advertiser.</w:t>
      </w:r>
    </w:p>
    <w:p>
      <w:pPr>
        <w:spacing w:after="40"/>
      </w:pPr>
    </w:p>
    <w:p>
      <w:pPr>
        <w:spacing w:before="200" w:after="100"/>
      </w:pPr>
      <w:r>
        <w:rPr>
          <w:rFonts w:ascii="Arial" w:cs="Arial" w:eastAsia="Arial" w:hAnsi="Arial"/>
          <w:b/>
          <w:bCs/>
          <w:color w:val="1A365D"/>
          <w:sz w:val="22"/>
          <w:szCs w:val="22"/>
        </w:rPr>
        <w:t xml:space="preserve">4.1.2 pallet-escrow</w:t>
      </w:r>
    </w:p>
    <w:p>
      <w:pPr>
        <w:spacing w:after="120"/>
        <w:jc w:val="left"/>
      </w:pPr>
      <w:r>
        <w:rPr>
          <w:rFonts w:ascii="Arial" w:cs="Arial" w:eastAsia="Arial" w:hAnsi="Arial"/>
          <w:color w:val="2D3748"/>
          <w:sz w:val="21"/>
          <w:szCs w:val="21"/>
        </w:rPr>
        <w:t xml:space="preserve">Holds campaign funds in a trustless escrow. Advertisers deposit stablecoins (USDT/USDC on Polkadot via Asset Hub) when creating a campaign. Funds are released only to valid impression claims, governance penalties, or returned to the advertiser on completion.</w:t>
      </w:r>
    </w:p>
    <w:p>
      <w:pPr>
        <w:spacing w:after="40"/>
      </w:pPr>
    </w:p>
    <w:p>
      <w:pPr>
        <w:pStyle w:val="ListParagraph"/>
        <w:numPr>
          <w:ilvl w:val="0"/>
          <w:numId w:val="2"/>
        </w:numPr>
        <w:spacing w:after="60"/>
      </w:pPr>
      <w:r>
        <w:rPr>
          <w:rFonts w:ascii="Arial" w:cs="Arial" w:eastAsia="Arial" w:hAnsi="Arial"/>
          <w:b/>
          <w:bCs/>
          <w:color w:val="2D3748"/>
          <w:sz w:val="21"/>
          <w:szCs w:val="21"/>
        </w:rPr>
        <w:t xml:space="preserve">Deposit: </w:t>
      </w:r>
      <w:r>
        <w:rPr>
          <w:rFonts w:ascii="Arial" w:cs="Arial" w:eastAsia="Arial" w:hAnsi="Arial"/>
          <w:color w:val="2D3748"/>
          <w:sz w:val="21"/>
          <w:szCs w:val="21"/>
        </w:rPr>
        <w:t xml:space="preserve">Advertiser transfers stablecoins to the escrow pallet’s sovereign account. Mapped to the campaign ID.</w:t>
      </w:r>
    </w:p>
    <w:p>
      <w:pPr>
        <w:pStyle w:val="ListParagraph"/>
        <w:numPr>
          <w:ilvl w:val="0"/>
          <w:numId w:val="2"/>
        </w:numPr>
        <w:spacing w:after="60"/>
      </w:pPr>
      <w:r>
        <w:rPr>
          <w:rFonts w:ascii="Arial" w:cs="Arial" w:eastAsia="Arial" w:hAnsi="Arial"/>
          <w:b/>
          <w:bCs/>
          <w:color w:val="2D3748"/>
          <w:sz w:val="21"/>
          <w:szCs w:val="21"/>
        </w:rPr>
        <w:t xml:space="preserve">Claim Settlement: </w:t>
      </w:r>
      <w:r>
        <w:rPr>
          <w:rFonts w:ascii="Arial" w:cs="Arial" w:eastAsia="Arial" w:hAnsi="Arial"/>
          <w:color w:val="2D3748"/>
          <w:sz w:val="21"/>
          <w:szCs w:val="21"/>
        </w:rPr>
        <w:t xml:space="preserve">When a batch of impression claims is verified (nonce sequence, hash chain integrity, viewability attestation, signatures), the pallet deducts the clearing CPM amount and distributes it.</w:t>
      </w:r>
    </w:p>
    <w:p>
      <w:pPr>
        <w:pStyle w:val="ListParagraph"/>
        <w:numPr>
          <w:ilvl w:val="0"/>
          <w:numId w:val="2"/>
        </w:numPr>
        <w:spacing w:after="60"/>
      </w:pPr>
      <w:r>
        <w:rPr>
          <w:rFonts w:ascii="Arial" w:cs="Arial" w:eastAsia="Arial" w:hAnsi="Arial"/>
          <w:b/>
          <w:bCs/>
          <w:color w:val="2D3748"/>
          <w:sz w:val="21"/>
          <w:szCs w:val="21"/>
        </w:rPr>
        <w:t xml:space="preserve">Revenue Split (Configurable): </w:t>
      </w:r>
      <w:r>
        <w:rPr>
          <w:rFonts w:ascii="Arial" w:cs="Arial" w:eastAsia="Arial" w:hAnsi="Arial"/>
          <w:color w:val="2D3748"/>
          <w:sz w:val="21"/>
          <w:szCs w:val="21"/>
        </w:rPr>
        <w:t xml:space="preserve">Default: 55% publisher (scaled by quality score), 30% user, 10% protocol treasury, 5% analytics/infrastructure reserve. Adjustable via protocol governance.</w:t>
      </w:r>
    </w:p>
    <w:p>
      <w:pPr>
        <w:pStyle w:val="ListParagraph"/>
        <w:numPr>
          <w:ilvl w:val="0"/>
          <w:numId w:val="2"/>
        </w:numPr>
        <w:spacing w:after="60"/>
      </w:pPr>
      <w:r>
        <w:rPr>
          <w:rFonts w:ascii="Arial" w:cs="Arial" w:eastAsia="Arial" w:hAnsi="Arial"/>
          <w:b/>
          <w:bCs/>
          <w:color w:val="2D3748"/>
          <w:sz w:val="21"/>
          <w:szCs w:val="21"/>
        </w:rPr>
        <w:t xml:space="preserve">Publisher Quality Scaling: </w:t>
      </w:r>
      <w:r>
        <w:rPr>
          <w:rFonts w:ascii="Arial" w:cs="Arial" w:eastAsia="Arial" w:hAnsi="Arial"/>
          <w:color w:val="2D3748"/>
          <w:sz w:val="21"/>
          <w:szCs w:val="21"/>
        </w:rPr>
        <w:t xml:space="preserve">New publishers receive 70% of the base publisher share for their first 90 days. As their quality score improves (see Section 5.3), their share scales up to 100%. This discourages publisher fraud by reducing the economic incentive for unproven publishers.</w:t>
      </w:r>
    </w:p>
    <w:p>
      <w:pPr>
        <w:pStyle w:val="ListParagraph"/>
        <w:numPr>
          <w:ilvl w:val="0"/>
          <w:numId w:val="2"/>
        </w:numPr>
        <w:spacing w:after="60"/>
      </w:pPr>
      <w:r>
        <w:rPr>
          <w:rFonts w:ascii="Arial" w:cs="Arial" w:eastAsia="Arial" w:hAnsi="Arial"/>
          <w:b/>
          <w:bCs/>
          <w:color w:val="2D3748"/>
          <w:sz w:val="21"/>
          <w:szCs w:val="21"/>
        </w:rPr>
        <w:t xml:space="preserve">User Payout Preference: </w:t>
      </w:r>
      <w:r>
        <w:rPr>
          <w:rFonts w:ascii="Arial" w:cs="Arial" w:eastAsia="Arial" w:hAnsi="Arial"/>
          <w:color w:val="2D3748"/>
          <w:sz w:val="21"/>
          <w:szCs w:val="21"/>
        </w:rPr>
        <w:t xml:space="preserve">Users set a preference (stablecoin direct or auto-swap to DOT). If DOT is selected, the pallet routes the user’s share through the DEX integration (XCM to HydraDX, swap, XCM back). Failed swaps are queued for retry (see Section 4.3).</w:t>
      </w:r>
    </w:p>
    <w:p>
      <w:pPr>
        <w:pStyle w:val="ListParagraph"/>
        <w:numPr>
          <w:ilvl w:val="0"/>
          <w:numId w:val="2"/>
        </w:numPr>
        <w:spacing w:after="60"/>
      </w:pPr>
      <w:r>
        <w:rPr>
          <w:rFonts w:ascii="Arial" w:cs="Arial" w:eastAsia="Arial" w:hAnsi="Arial"/>
          <w:b/>
          <w:bCs/>
          <w:color w:val="2D3748"/>
          <w:sz w:val="21"/>
          <w:szCs w:val="21"/>
        </w:rPr>
        <w:t xml:space="preserve">Nonce Verification: </w:t>
      </w:r>
      <w:r>
        <w:rPr>
          <w:rFonts w:ascii="Arial" w:cs="Arial" w:eastAsia="Arial" w:hAnsi="Arial"/>
          <w:color w:val="2D3748"/>
          <w:sz w:val="21"/>
          <w:szCs w:val="21"/>
        </w:rPr>
        <w:t xml:space="preserve">The pallet stores last_settled_nonce per user account. Each claim’s nonce must be exactly last_settled_nonce + 1 (sequential, no gaps). Claims with nonce ≤ last_settled_nonce are rejected as replays. Claims with gaps trigger a flag for investigation.</w:t>
      </w:r>
    </w:p>
    <w:p>
      <w:pPr>
        <w:pStyle w:val="ListParagraph"/>
        <w:numPr>
          <w:ilvl w:val="0"/>
          <w:numId w:val="2"/>
        </w:numPr>
        <w:spacing w:after="60"/>
      </w:pPr>
      <w:r>
        <w:rPr>
          <w:rFonts w:ascii="Arial" w:cs="Arial" w:eastAsia="Arial" w:hAnsi="Arial"/>
          <w:b/>
          <w:bCs/>
          <w:color w:val="2D3748"/>
          <w:sz w:val="21"/>
          <w:szCs w:val="21"/>
        </w:rPr>
        <w:t xml:space="preserve">Hash Chain Verification: </w:t>
      </w:r>
      <w:r>
        <w:rPr>
          <w:rFonts w:ascii="Arial" w:cs="Arial" w:eastAsia="Arial" w:hAnsi="Arial"/>
          <w:color w:val="2D3748"/>
          <w:sz w:val="21"/>
          <w:szCs w:val="21"/>
        </w:rPr>
        <w:t xml:space="preserve">The pallet stores the last_claim_hash per user account. Each batch’s first claim must reference this hash as its previous_claim_hash. Sequential hash chain integrity is verified across the batch.</w:t>
      </w:r>
    </w:p>
    <w:p>
      <w:pPr>
        <w:spacing w:after="40"/>
      </w:pPr>
    </w:p>
    <w:p>
      <w:pPr>
        <w:spacing w:before="200" w:after="100"/>
      </w:pPr>
      <w:r>
        <w:rPr>
          <w:rFonts w:ascii="Arial" w:cs="Arial" w:eastAsia="Arial" w:hAnsi="Arial"/>
          <w:b/>
          <w:bCs/>
          <w:color w:val="1A365D"/>
          <w:sz w:val="22"/>
          <w:szCs w:val="22"/>
        </w:rPr>
        <w:t xml:space="preserve">4.1.3 pallet-governance</w:t>
      </w:r>
    </w:p>
    <w:p>
      <w:pPr>
        <w:spacing w:after="120"/>
        <w:jc w:val="left"/>
      </w:pPr>
      <w:r>
        <w:rPr>
          <w:rFonts w:ascii="Arial" w:cs="Arial" w:eastAsia="Arial" w:hAnsi="Arial"/>
          <w:color w:val="2D3748"/>
          <w:sz w:val="21"/>
          <w:szCs w:val="21"/>
        </w:rPr>
        <w:t xml:space="preserve">Implements the conviction-weighted campaign moderation system. This is one of DATUM’s most novel features and is described in full detail in Section 7.</w:t>
      </w:r>
    </w:p>
    <w:p>
      <w:pPr>
        <w:spacing w:after="40"/>
      </w:pPr>
    </w:p>
    <w:p>
      <w:pPr>
        <w:spacing w:before="200" w:after="100"/>
      </w:pPr>
      <w:r>
        <w:rPr>
          <w:rFonts w:ascii="Arial" w:cs="Arial" w:eastAsia="Arial" w:hAnsi="Arial"/>
          <w:b/>
          <w:bCs/>
          <w:color w:val="1A365D"/>
          <w:sz w:val="22"/>
          <w:szCs w:val="22"/>
        </w:rPr>
        <w:t xml:space="preserve">4.1.4 pallet-taxonomy</w:t>
      </w:r>
    </w:p>
    <w:p>
      <w:pPr>
        <w:spacing w:after="120"/>
        <w:jc w:val="left"/>
      </w:pPr>
      <w:r>
        <w:rPr>
          <w:rFonts w:ascii="Arial" w:cs="Arial" w:eastAsia="Arial" w:hAnsi="Arial"/>
          <w:color w:val="2D3748"/>
          <w:sz w:val="21"/>
          <w:szCs w:val="21"/>
        </w:rPr>
        <w:t xml:space="preserve">Stores and manages the protocol-defined interest taxonomy. The taxonomy is a hierarchical tree of categories (e.g., Technology &gt; Programming &gt; Rust) with unique numeric IDs. Updates to the taxonomy are governed by protocol governance (see Section 12).</w:t>
      </w:r>
    </w:p>
    <w:p>
      <w:pPr>
        <w:spacing w:after="40"/>
      </w:pPr>
    </w:p>
    <w:p>
      <w:pPr>
        <w:pStyle w:val="ListParagraph"/>
        <w:numPr>
          <w:ilvl w:val="0"/>
          <w:numId w:val="2"/>
        </w:numPr>
        <w:spacing w:after="60"/>
      </w:pPr>
      <w:r>
        <w:rPr>
          <w:rFonts w:ascii="Arial" w:cs="Arial" w:eastAsia="Arial" w:hAnsi="Arial"/>
          <w:b/>
          <w:bCs/>
          <w:color w:val="2D3748"/>
          <w:sz w:val="21"/>
          <w:szCs w:val="21"/>
        </w:rPr>
        <w:t xml:space="preserve">Initial Taxonomy: </w:t>
      </w:r>
      <w:r>
        <w:rPr>
          <w:rFonts w:ascii="Arial" w:cs="Arial" w:eastAsia="Arial" w:hAnsi="Arial"/>
          <w:color w:val="2D3748"/>
          <w:sz w:val="21"/>
          <w:szCs w:val="21"/>
        </w:rPr>
        <w:t xml:space="preserve">Approximately 200–500 categories modeled after the IAB Content Taxonomy and Google Topics API taxonomy, adapted for the DATUM context.</w:t>
      </w:r>
    </w:p>
    <w:p>
      <w:pPr>
        <w:pStyle w:val="ListParagraph"/>
        <w:numPr>
          <w:ilvl w:val="0"/>
          <w:numId w:val="2"/>
        </w:numPr>
        <w:spacing w:after="60"/>
      </w:pPr>
      <w:r>
        <w:rPr>
          <w:rFonts w:ascii="Arial" w:cs="Arial" w:eastAsia="Arial" w:hAnsi="Arial"/>
          <w:b/>
          <w:bCs/>
          <w:color w:val="2D3748"/>
          <w:sz w:val="21"/>
          <w:szCs w:val="21"/>
        </w:rPr>
        <w:t xml:space="preserve">Versioning: </w:t>
      </w:r>
      <w:r>
        <w:rPr>
          <w:rFonts w:ascii="Arial" w:cs="Arial" w:eastAsia="Arial" w:hAnsi="Arial"/>
          <w:color w:val="2D3748"/>
          <w:sz w:val="21"/>
          <w:szCs w:val="21"/>
        </w:rPr>
        <w:t xml:space="preserve">Taxonomy changes are versioned. Campaigns reference a taxonomy version, and the extension syncs the latest version periodically.</w:t>
      </w:r>
    </w:p>
    <w:p>
      <w:pPr>
        <w:pStyle w:val="ListParagraph"/>
        <w:numPr>
          <w:ilvl w:val="0"/>
          <w:numId w:val="2"/>
        </w:numPr>
        <w:spacing w:after="60"/>
      </w:pPr>
      <w:r>
        <w:rPr>
          <w:rFonts w:ascii="Arial" w:cs="Arial" w:eastAsia="Arial" w:hAnsi="Arial"/>
          <w:b/>
          <w:bCs/>
          <w:color w:val="2D3748"/>
          <w:sz w:val="21"/>
          <w:szCs w:val="21"/>
        </w:rPr>
        <w:t xml:space="preserve">Category Structure: </w:t>
      </w:r>
      <w:r>
        <w:rPr>
          <w:rFonts w:ascii="Arial" w:cs="Arial" w:eastAsia="Arial" w:hAnsi="Arial"/>
          <w:color w:val="2D3748"/>
          <w:sz w:val="21"/>
          <w:szCs w:val="21"/>
        </w:rPr>
        <w:t xml:space="preserve">{id: u32, parent_id: Option&lt;u32&gt;, name: String, description: String, version: u32}.</w:t>
      </w:r>
    </w:p>
    <w:p>
      <w:pPr>
        <w:spacing w:after="40"/>
      </w:pPr>
    </w:p>
    <w:p>
      <w:pPr>
        <w:spacing w:before="200" w:after="100"/>
      </w:pPr>
      <w:r>
        <w:rPr>
          <w:rFonts w:ascii="Arial" w:cs="Arial" w:eastAsia="Arial" w:hAnsi="Arial"/>
          <w:b/>
          <w:bCs/>
          <w:color w:val="1A365D"/>
          <w:sz w:val="22"/>
          <w:szCs w:val="22"/>
        </w:rPr>
        <w:t xml:space="preserve">4.1.5 pallet-identity</w:t>
      </w:r>
    </w:p>
    <w:p>
      <w:pPr>
        <w:spacing w:after="120"/>
        <w:jc w:val="left"/>
      </w:pPr>
      <w:r>
        <w:rPr>
          <w:rFonts w:ascii="Arial" w:cs="Arial" w:eastAsia="Arial" w:hAnsi="Arial"/>
          <w:color w:val="2D3748"/>
          <w:sz w:val="21"/>
          <w:szCs w:val="21"/>
        </w:rPr>
        <w:t xml:space="preserve">Manages participant verification status on-chain. Stores KYB attestation results for businesses and user verification status. All identity checks gate access to protocol functions. Full details in Section 6.</w:t>
      </w:r>
    </w:p>
    <w:p>
      <w:pPr>
        <w:spacing w:after="40"/>
      </w:pPr>
    </w:p>
    <w:p>
      <w:pPr>
        <w:pStyle w:val="ListParagraph"/>
        <w:numPr>
          <w:ilvl w:val="0"/>
          <w:numId w:val="2"/>
        </w:numPr>
        <w:spacing w:after="60"/>
      </w:pPr>
      <w:r>
        <w:rPr>
          <w:rFonts w:ascii="Arial" w:cs="Arial" w:eastAsia="Arial" w:hAnsi="Arial"/>
          <w:b/>
          <w:bCs/>
          <w:color w:val="2D3748"/>
          <w:sz w:val="21"/>
          <w:szCs w:val="21"/>
        </w:rPr>
        <w:t xml:space="preserve">Business Attestation Storage: </w:t>
      </w:r>
      <w:r>
        <w:rPr>
          <w:rFonts w:ascii="Arial" w:cs="Arial" w:eastAsia="Arial" w:hAnsi="Arial"/>
          <w:color w:val="2D3748"/>
          <w:sz w:val="21"/>
          <w:szCs w:val="21"/>
        </w:rPr>
        <w:t xml:space="preserve">{account: AccountId, kyb_provider: AttestationProvider, attestation_hash: H256, verified_at: BlockNumber, jurisdiction: Vec&lt;u8&gt;, status: VerificationStatus}.</w:t>
      </w:r>
    </w:p>
    <w:p>
      <w:pPr>
        <w:pStyle w:val="ListParagraph"/>
        <w:numPr>
          <w:ilvl w:val="0"/>
          <w:numId w:val="2"/>
        </w:numPr>
        <w:spacing w:after="60"/>
      </w:pPr>
      <w:r>
        <w:rPr>
          <w:rFonts w:ascii="Arial" w:cs="Arial" w:eastAsia="Arial" w:hAnsi="Arial"/>
          <w:b/>
          <w:bCs/>
          <w:color w:val="2D3748"/>
          <w:sz w:val="21"/>
          <w:szCs w:val="21"/>
        </w:rPr>
        <w:t xml:space="preserve">User Verification Storage: </w:t>
      </w:r>
      <w:r>
        <w:rPr>
          <w:rFonts w:ascii="Arial" w:cs="Arial" w:eastAsia="Arial" w:hAnsi="Arial"/>
          <w:color w:val="2D3748"/>
          <w:sz w:val="21"/>
          <w:szCs w:val="21"/>
        </w:rPr>
        <w:t xml:space="preserve">{account: AccountId, method: VerificationMethod (SignedAccount | ProofOfPersonhood), verified_at: BlockNumber, nonce_counter: u64, last_claim_hash: H256, status: VerificationStatus}.</w:t>
      </w:r>
    </w:p>
    <w:p>
      <w:pPr>
        <w:pStyle w:val="ListParagraph"/>
        <w:numPr>
          <w:ilvl w:val="0"/>
          <w:numId w:val="2"/>
        </w:numPr>
        <w:spacing w:after="60"/>
      </w:pPr>
      <w:r>
        <w:rPr>
          <w:rFonts w:ascii="Arial" w:cs="Arial" w:eastAsia="Arial" w:hAnsi="Arial"/>
          <w:b/>
          <w:bCs/>
          <w:color w:val="2D3748"/>
          <w:sz w:val="21"/>
          <w:szCs w:val="21"/>
        </w:rPr>
        <w:t xml:space="preserve">Access Gating: </w:t>
      </w:r>
      <w:r>
        <w:rPr>
          <w:rFonts w:ascii="Arial" w:cs="Arial" w:eastAsia="Arial" w:hAnsi="Arial"/>
          <w:color w:val="2D3748"/>
          <w:sz w:val="21"/>
          <w:szCs w:val="21"/>
        </w:rPr>
        <w:t xml:space="preserve">pallet-campaigns checks KYB status before allowing campaign creation. pallet-escrow checks user verification before processing impression claims.</w:t>
      </w:r>
    </w:p>
    <w:p>
      <w:pPr>
        <w:pStyle w:val="ListParagraph"/>
        <w:numPr>
          <w:ilvl w:val="0"/>
          <w:numId w:val="2"/>
        </w:numPr>
        <w:spacing w:after="60"/>
      </w:pPr>
      <w:r>
        <w:rPr>
          <w:rFonts w:ascii="Arial" w:cs="Arial" w:eastAsia="Arial" w:hAnsi="Arial"/>
          <w:b/>
          <w:bCs/>
          <w:color w:val="2D3748"/>
          <w:sz w:val="21"/>
          <w:szCs w:val="21"/>
        </w:rPr>
        <w:t xml:space="preserve">Attestation Expiry: </w:t>
      </w:r>
      <w:r>
        <w:rPr>
          <w:rFonts w:ascii="Arial" w:cs="Arial" w:eastAsia="Arial" w:hAnsi="Arial"/>
          <w:color w:val="2D3748"/>
          <w:sz w:val="21"/>
          <w:szCs w:val="21"/>
        </w:rPr>
        <w:t xml:space="preserve">KYB attestations have a configurable validity period (default 12 months). Expired attestations pause the business’s active campaigns until re-verification.</w:t>
      </w:r>
    </w:p>
    <w:p>
      <w:pPr>
        <w:spacing w:after="40"/>
      </w:pPr>
    </w:p>
    <w:p>
      <w:pPr>
        <w:spacing w:before="200" w:after="100"/>
      </w:pPr>
      <w:r>
        <w:rPr>
          <w:rFonts w:ascii="Arial" w:cs="Arial" w:eastAsia="Arial" w:hAnsi="Arial"/>
          <w:b/>
          <w:bCs/>
          <w:color w:val="1A365D"/>
          <w:sz w:val="22"/>
          <w:szCs w:val="22"/>
        </w:rPr>
        <w:t xml:space="preserve">4.1.6 pallet-analytics</w:t>
      </w:r>
    </w:p>
    <w:p>
      <w:pPr>
        <w:spacing w:after="120"/>
        <w:jc w:val="left"/>
      </w:pPr>
      <w:r>
        <w:rPr>
          <w:rFonts w:ascii="Arial" w:cs="Arial" w:eastAsia="Arial" w:hAnsi="Arial"/>
          <w:color w:val="2D3748"/>
          <w:sz w:val="21"/>
          <w:szCs w:val="21"/>
        </w:rPr>
        <w:t xml:space="preserve">Aggregates campaign performance metrics with differential privacy guarantees, providing advertisers with actionable reporting without compromising individual user privacy.</w:t>
      </w:r>
    </w:p>
    <w:p>
      <w:pPr>
        <w:spacing w:after="40"/>
      </w:pPr>
    </w:p>
    <w:p>
      <w:pPr>
        <w:pStyle w:val="ListParagraph"/>
        <w:numPr>
          <w:ilvl w:val="0"/>
          <w:numId w:val="2"/>
        </w:numPr>
        <w:spacing w:after="60"/>
      </w:pPr>
      <w:r>
        <w:rPr>
          <w:rFonts w:ascii="Arial" w:cs="Arial" w:eastAsia="Arial" w:hAnsi="Arial"/>
          <w:b/>
          <w:bCs/>
          <w:color w:val="2D3748"/>
          <w:sz w:val="21"/>
          <w:szCs w:val="21"/>
        </w:rPr>
        <w:t xml:space="preserve">Aggregate Metrics: </w:t>
      </w:r>
      <w:r>
        <w:rPr>
          <w:rFonts w:ascii="Arial" w:cs="Arial" w:eastAsia="Arial" w:hAnsi="Arial"/>
          <w:color w:val="2D3748"/>
          <w:sz w:val="21"/>
          <w:szCs w:val="21"/>
        </w:rPr>
        <w:t xml:space="preserve">Total impressions, total spend, average clearing CPM, impressions by publisher, average viewability rate, fill rate (impressions served vs. eligible). Updated on each batch settlement.</w:t>
      </w:r>
    </w:p>
    <w:p>
      <w:pPr>
        <w:pStyle w:val="ListParagraph"/>
        <w:numPr>
          <w:ilvl w:val="0"/>
          <w:numId w:val="2"/>
        </w:numPr>
        <w:spacing w:after="60"/>
      </w:pPr>
      <w:r>
        <w:rPr>
          <w:rFonts w:ascii="Arial" w:cs="Arial" w:eastAsia="Arial" w:hAnsi="Arial"/>
          <w:b/>
          <w:bCs/>
          <w:color w:val="2D3748"/>
          <w:sz w:val="21"/>
          <w:szCs w:val="21"/>
        </w:rPr>
        <w:t xml:space="preserve">Taxonomy Breakdown: </w:t>
      </w:r>
      <w:r>
        <w:rPr>
          <w:rFonts w:ascii="Arial" w:cs="Arial" w:eastAsia="Arial" w:hAnsi="Arial"/>
          <w:color w:val="2D3748"/>
          <w:sz w:val="21"/>
          <w:szCs w:val="21"/>
        </w:rPr>
        <w:t xml:space="preserve">Impression counts by matched taxonomy category, with differential privacy noise (Laplace mechanism, configurable epsilon). Advertisers see approximate audience composition without identifying individuals.</w:t>
      </w:r>
    </w:p>
    <w:p>
      <w:pPr>
        <w:pStyle w:val="ListParagraph"/>
        <w:numPr>
          <w:ilvl w:val="0"/>
          <w:numId w:val="2"/>
        </w:numPr>
        <w:spacing w:after="60"/>
      </w:pPr>
      <w:r>
        <w:rPr>
          <w:rFonts w:ascii="Arial" w:cs="Arial" w:eastAsia="Arial" w:hAnsi="Arial"/>
          <w:b/>
          <w:bCs/>
          <w:color w:val="2D3748"/>
          <w:sz w:val="21"/>
          <w:szCs w:val="21"/>
        </w:rPr>
        <w:t xml:space="preserve">Temporal Reporting: </w:t>
      </w:r>
      <w:r>
        <w:rPr>
          <w:rFonts w:ascii="Arial" w:cs="Arial" w:eastAsia="Arial" w:hAnsi="Arial"/>
          <w:color w:val="2D3748"/>
          <w:sz w:val="21"/>
          <w:szCs w:val="21"/>
        </w:rPr>
        <w:t xml:space="preserve">Metrics bucketed by time period (hourly, daily, weekly). Advertisers can track campaign performance trends.</w:t>
      </w:r>
    </w:p>
    <w:p>
      <w:pPr>
        <w:pStyle w:val="ListParagraph"/>
        <w:numPr>
          <w:ilvl w:val="0"/>
          <w:numId w:val="2"/>
        </w:numPr>
        <w:spacing w:after="60"/>
      </w:pPr>
      <w:r>
        <w:rPr>
          <w:rFonts w:ascii="Arial" w:cs="Arial" w:eastAsia="Arial" w:hAnsi="Arial"/>
          <w:b/>
          <w:bCs/>
          <w:color w:val="2D3748"/>
          <w:sz w:val="21"/>
          <w:szCs w:val="21"/>
        </w:rPr>
        <w:t xml:space="preserve">Minimum Aggregation Threshold: </w:t>
      </w:r>
      <w:r>
        <w:rPr>
          <w:rFonts w:ascii="Arial" w:cs="Arial" w:eastAsia="Arial" w:hAnsi="Arial"/>
          <w:color w:val="2D3748"/>
          <w:sz w:val="21"/>
          <w:szCs w:val="21"/>
        </w:rPr>
        <w:t xml:space="preserve">Category-level breakdowns are only reported when the group size exceeds a k-anonymity threshold (default k=50). Smaller groups are suppressed to prevent inference attacks.</w:t>
      </w:r>
    </w:p>
    <w:p>
      <w:pPr>
        <w:pStyle w:val="ListParagraph"/>
        <w:numPr>
          <w:ilvl w:val="0"/>
          <w:numId w:val="2"/>
        </w:numPr>
        <w:spacing w:after="60"/>
      </w:pPr>
      <w:r>
        <w:rPr>
          <w:rFonts w:ascii="Arial" w:cs="Arial" w:eastAsia="Arial" w:hAnsi="Arial"/>
          <w:b/>
          <w:bCs/>
          <w:color w:val="2D3748"/>
          <w:sz w:val="21"/>
          <w:szCs w:val="21"/>
        </w:rPr>
        <w:t xml:space="preserve">Advertiser Access: </w:t>
      </w:r>
      <w:r>
        <w:rPr>
          <w:rFonts w:ascii="Arial" w:cs="Arial" w:eastAsia="Arial" w:hAnsi="Arial"/>
          <w:color w:val="2D3748"/>
          <w:sz w:val="21"/>
          <w:szCs w:val="21"/>
        </w:rPr>
        <w:t xml:space="preserve">Metrics are queryable via RPC calls authenticated by the advertiser’s account. Only the campaign’s owner can access its detailed analytics.</w:t>
      </w:r>
    </w:p>
    <w:p>
      <w:pPr>
        <w:pStyle w:val="ListParagraph"/>
        <w:numPr>
          <w:ilvl w:val="0"/>
          <w:numId w:val="2"/>
        </w:numPr>
        <w:spacing w:after="60"/>
      </w:pPr>
      <w:r>
        <w:rPr>
          <w:rFonts w:ascii="Arial" w:cs="Arial" w:eastAsia="Arial" w:hAnsi="Arial"/>
          <w:b/>
          <w:bCs/>
          <w:color w:val="2D3748"/>
          <w:sz w:val="21"/>
          <w:szCs w:val="21"/>
        </w:rPr>
        <w:t xml:space="preserve">Public Metrics: </w:t>
      </w:r>
      <w:r>
        <w:rPr>
          <w:rFonts w:ascii="Arial" w:cs="Arial" w:eastAsia="Arial" w:hAnsi="Arial"/>
          <w:color w:val="2D3748"/>
          <w:sz w:val="21"/>
          <w:szCs w:val="21"/>
        </w:rPr>
        <w:t xml:space="preserve">Protocol-level aggregate metrics (total impressions, total campaigns, active publishers) are public for ecosystem health monitoring.</w:t>
      </w:r>
    </w:p>
    <w:p>
      <w:pPr>
        <w:spacing w:after="60"/>
      </w:pPr>
    </w:p>
    <w:p>
      <w:pPr>
        <w:pStyle w:val="Heading2"/>
        <w:spacing w:before="300" w:after="150"/>
      </w:pPr>
      <w:r>
        <w:rPr>
          <w:rFonts w:ascii="Arial" w:cs="Arial" w:eastAsia="Arial" w:hAnsi="Arial"/>
          <w:b/>
          <w:bCs/>
          <w:color w:val="2B6CB0"/>
          <w:sz w:val="26"/>
          <w:szCs w:val="26"/>
        </w:rPr>
        <w:t xml:space="preserve">4.2 JAM Migration Path</w:t>
      </w:r>
    </w:p>
    <w:p>
      <w:pPr>
        <w:spacing w:after="120"/>
        <w:jc w:val="left"/>
      </w:pPr>
      <w:r>
        <w:rPr>
          <w:rFonts w:ascii="Arial" w:cs="Arial" w:eastAsia="Arial" w:hAnsi="Arial"/>
          <w:color w:val="2D3748"/>
          <w:sz w:val="21"/>
          <w:szCs w:val="21"/>
        </w:rPr>
        <w:t xml:space="preserve">When JAM is production-ready, the DATUM pallets migrate to JAM services. The mapping is:</w:t>
      </w:r>
    </w:p>
    <w:p>
      <w:pPr>
        <w:spacing w:after="40"/>
      </w:pPr>
    </w:p>
    <w:p>
      <w:pPr>
        <w:pStyle w:val="ListParagraph"/>
        <w:numPr>
          <w:ilvl w:val="0"/>
          <w:numId w:val="2"/>
        </w:numPr>
        <w:spacing w:after="60"/>
      </w:pPr>
      <w:r>
        <w:rPr>
          <w:rFonts w:ascii="Arial" w:cs="Arial" w:eastAsia="Arial" w:hAnsi="Arial"/>
          <w:b/>
          <w:bCs/>
          <w:color w:val="2D3748"/>
          <w:sz w:val="21"/>
          <w:szCs w:val="21"/>
        </w:rPr>
        <w:t xml:space="preserve">Refine (in-core execution): </w:t>
      </w:r>
      <w:r>
        <w:rPr>
          <w:rFonts w:ascii="Arial" w:cs="Arial" w:eastAsia="Arial" w:hAnsi="Arial"/>
          <w:color w:val="2D3748"/>
          <w:sz w:val="21"/>
          <w:szCs w:val="21"/>
        </w:rPr>
        <w:t xml:space="preserve">ZK proof verification and viewability attestation validation for impression claims. Compute-intensive but parallelizable.</w:t>
      </w:r>
    </w:p>
    <w:p>
      <w:pPr>
        <w:pStyle w:val="ListParagraph"/>
        <w:numPr>
          <w:ilvl w:val="0"/>
          <w:numId w:val="2"/>
        </w:numPr>
        <w:spacing w:after="60"/>
      </w:pPr>
      <w:r>
        <w:rPr>
          <w:rFonts w:ascii="Arial" w:cs="Arial" w:eastAsia="Arial" w:hAnsi="Arial"/>
          <w:b/>
          <w:bCs/>
          <w:color w:val="2D3748"/>
          <w:sz w:val="21"/>
          <w:szCs w:val="21"/>
        </w:rPr>
        <w:t xml:space="preserve">Accumulate (on-chain state update): </w:t>
      </w:r>
      <w:r>
        <w:rPr>
          <w:rFonts w:ascii="Arial" w:cs="Arial" w:eastAsia="Arial" w:hAnsi="Arial"/>
          <w:color w:val="2D3748"/>
          <w:sz w:val="21"/>
          <w:szCs w:val="21"/>
        </w:rPr>
        <w:t xml:space="preserve">Campaign state updates, escrow balance changes, nonce/hash-chain state updates, analytics aggregation, governance vote tallying.</w:t>
      </w:r>
    </w:p>
    <w:p>
      <w:pPr>
        <w:pStyle w:val="ListParagraph"/>
        <w:numPr>
          <w:ilvl w:val="0"/>
          <w:numId w:val="2"/>
        </w:numPr>
        <w:spacing w:after="60"/>
      </w:pPr>
      <w:r>
        <w:rPr>
          <w:rFonts w:ascii="Arial" w:cs="Arial" w:eastAsia="Arial" w:hAnsi="Arial"/>
          <w:b/>
          <w:bCs/>
          <w:color w:val="2D3748"/>
          <w:sz w:val="21"/>
          <w:szCs w:val="21"/>
        </w:rPr>
        <w:t xml:space="preserve">On_transfer: </w:t>
      </w:r>
      <w:r>
        <w:rPr>
          <w:rFonts w:ascii="Arial" w:cs="Arial" w:eastAsia="Arial" w:hAnsi="Arial"/>
          <w:color w:val="2D3748"/>
          <w:sz w:val="21"/>
          <w:szCs w:val="21"/>
        </w:rPr>
        <w:t xml:space="preserve">Handles XCM messages for cross-chain asset transfers (stablecoin deposits, DOT swaps via HydraDX).</w:t>
      </w:r>
    </w:p>
    <w:p>
      <w:pPr>
        <w:pStyle w:val="ListParagraph"/>
        <w:numPr>
          <w:ilvl w:val="0"/>
          <w:numId w:val="2"/>
        </w:numPr>
        <w:spacing w:after="60"/>
      </w:pPr>
      <w:r>
        <w:rPr>
          <w:rFonts w:ascii="Arial" w:cs="Arial" w:eastAsia="Arial" w:hAnsi="Arial"/>
          <w:b/>
          <w:bCs/>
          <w:color w:val="2D3748"/>
          <w:sz w:val="21"/>
          <w:szCs w:val="21"/>
        </w:rPr>
        <w:t xml:space="preserve">Work Packages: </w:t>
      </w:r>
      <w:r>
        <w:rPr>
          <w:rFonts w:ascii="Arial" w:cs="Arial" w:eastAsia="Arial" w:hAnsi="Arial"/>
          <w:color w:val="2D3748"/>
          <w:sz w:val="21"/>
          <w:szCs w:val="21"/>
        </w:rPr>
        <w:t xml:space="preserve">Batched impression claims are natural work packages. Each work package contains a set of claims with their proofs, processed in refine and settled in accumulate.</w:t>
      </w:r>
    </w:p>
    <w:p>
      <w:pPr>
        <w:spacing w:after="40"/>
      </w:pPr>
    </w:p>
    <w:p>
      <w:pPr>
        <w:spacing w:after="120"/>
        <w:jc w:val="left"/>
      </w:pPr>
      <w:r>
        <w:rPr>
          <w:rFonts w:ascii="Arial" w:cs="Arial" w:eastAsia="Arial" w:hAnsi="Arial"/>
          <w:color w:val="2D3748"/>
          <w:sz w:val="21"/>
          <w:szCs w:val="21"/>
        </w:rPr>
        <w:t xml:space="preserve">Key JAM Grey Paper sections to study: the service entrypoint model (refine/accumulate/on_transfer), work-package lifecycle, data availability system, and the in-core/on-chain execution split.</w:t>
      </w:r>
    </w:p>
    <w:p>
      <w:pPr>
        <w:spacing w:after="60"/>
      </w:pPr>
    </w:p>
    <w:p>
      <w:pPr>
        <w:pStyle w:val="Heading2"/>
        <w:spacing w:before="300" w:after="150"/>
      </w:pPr>
      <w:r>
        <w:rPr>
          <w:rFonts w:ascii="Arial" w:cs="Arial" w:eastAsia="Arial" w:hAnsi="Arial"/>
          <w:b/>
          <w:bCs/>
          <w:color w:val="2B6CB0"/>
          <w:sz w:val="26"/>
          <w:szCs w:val="26"/>
        </w:rPr>
        <w:t xml:space="preserve">4.3 Cross-Chain Operations &amp; XCM Resilience</w:t>
      </w:r>
    </w:p>
    <w:p>
      <w:pPr>
        <w:spacing w:after="120"/>
        <w:jc w:val="left"/>
      </w:pPr>
      <w:r>
        <w:rPr>
          <w:rFonts w:ascii="Arial" w:cs="Arial" w:eastAsia="Arial" w:hAnsi="Arial"/>
          <w:color w:val="2D3748"/>
          <w:sz w:val="21"/>
          <w:szCs w:val="21"/>
        </w:rPr>
        <w:t xml:space="preserve">Cross-chain messaging via XCM is essential for stablecoin handling (Asset Hub) and DEX swaps (HydraDX). XCM operations can fail due to insufficient liquidity, destination chain congestion, or fee estimation errors. The protocol must handle these failures gracefully.</w:t>
      </w:r>
    </w:p>
    <w:p>
      <w:pPr>
        <w:spacing w:after="40"/>
      </w:pPr>
    </w:p>
    <w:p>
      <w:pPr>
        <w:pStyle w:val="ListParagraph"/>
        <w:numPr>
          <w:ilvl w:val="0"/>
          <w:numId w:val="2"/>
        </w:numPr>
        <w:spacing w:after="60"/>
      </w:pPr>
      <w:r>
        <w:rPr>
          <w:rFonts w:ascii="Arial" w:cs="Arial" w:eastAsia="Arial" w:hAnsi="Arial"/>
          <w:b/>
          <w:bCs/>
          <w:color w:val="2D3748"/>
          <w:sz w:val="21"/>
          <w:szCs w:val="21"/>
        </w:rPr>
        <w:t xml:space="preserve">XCM Fee Budgeting: </w:t>
      </w:r>
      <w:r>
        <w:rPr>
          <w:rFonts w:ascii="Arial" w:cs="Arial" w:eastAsia="Arial" w:hAnsi="Arial"/>
          <w:color w:val="2D3748"/>
          <w:sz w:val="21"/>
          <w:szCs w:val="21"/>
        </w:rPr>
        <w:t xml:space="preserve">The protocol fee (5% of the analytics/infrastructure reserve from each impression) covers XCM execution fees on destination chains. Fee estimates are refreshed periodically via XCM dry-run queries.</w:t>
      </w:r>
    </w:p>
    <w:p>
      <w:pPr>
        <w:pStyle w:val="ListParagraph"/>
        <w:numPr>
          <w:ilvl w:val="0"/>
          <w:numId w:val="2"/>
        </w:numPr>
        <w:spacing w:after="60"/>
      </w:pPr>
      <w:r>
        <w:rPr>
          <w:rFonts w:ascii="Arial" w:cs="Arial" w:eastAsia="Arial" w:hAnsi="Arial"/>
          <w:b/>
          <w:bCs/>
          <w:color w:val="2D3748"/>
          <w:sz w:val="21"/>
          <w:szCs w:val="21"/>
        </w:rPr>
        <w:t xml:space="preserve">Swap Retry Queue: </w:t>
      </w:r>
      <w:r>
        <w:rPr>
          <w:rFonts w:ascii="Arial" w:cs="Arial" w:eastAsia="Arial" w:hAnsi="Arial"/>
          <w:color w:val="2D3748"/>
          <w:sz w:val="21"/>
          <w:szCs w:val="21"/>
        </w:rPr>
        <w:t xml:space="preserve">Failed HydraDX swaps (due to insufficient liquidity or slippage exceeding tolerance) are placed in a retry queue. The queue is processed every N blocks with exponential backoff (retry after 10 blocks, then 100, then 1000).</w:t>
      </w:r>
    </w:p>
    <w:p>
      <w:pPr>
        <w:pStyle w:val="ListParagraph"/>
        <w:numPr>
          <w:ilvl w:val="0"/>
          <w:numId w:val="2"/>
        </w:numPr>
        <w:spacing w:after="60"/>
      </w:pPr>
      <w:r>
        <w:rPr>
          <w:rFonts w:ascii="Arial" w:cs="Arial" w:eastAsia="Arial" w:hAnsi="Arial"/>
          <w:b/>
          <w:bCs/>
          <w:color w:val="2D3748"/>
          <w:sz w:val="21"/>
          <w:szCs w:val="21"/>
        </w:rPr>
        <w:t xml:space="preserve">Stablecoin Fallback: </w:t>
      </w:r>
      <w:r>
        <w:rPr>
          <w:rFonts w:ascii="Arial" w:cs="Arial" w:eastAsia="Arial" w:hAnsi="Arial"/>
          <w:color w:val="2D3748"/>
          <w:sz w:val="21"/>
          <w:szCs w:val="21"/>
        </w:rPr>
        <w:t xml:space="preserve">If a swap fails 3 consecutive times, the user’s payout is delivered in the original stablecoin rather than the preferred DOT. The user is notified and can manually retry the swap later.</w:t>
      </w:r>
    </w:p>
    <w:p>
      <w:pPr>
        <w:pStyle w:val="ListParagraph"/>
        <w:numPr>
          <w:ilvl w:val="0"/>
          <w:numId w:val="2"/>
        </w:numPr>
        <w:spacing w:after="60"/>
      </w:pPr>
      <w:r>
        <w:rPr>
          <w:rFonts w:ascii="Arial" w:cs="Arial" w:eastAsia="Arial" w:hAnsi="Arial"/>
          <w:b/>
          <w:bCs/>
          <w:color w:val="2D3748"/>
          <w:sz w:val="21"/>
          <w:szCs w:val="21"/>
        </w:rPr>
        <w:t xml:space="preserve">Asset Hub Availability: </w:t>
      </w:r>
      <w:r>
        <w:rPr>
          <w:rFonts w:ascii="Arial" w:cs="Arial" w:eastAsia="Arial" w:hAnsi="Arial"/>
          <w:color w:val="2D3748"/>
          <w:sz w:val="21"/>
          <w:szCs w:val="21"/>
        </w:rPr>
        <w:t xml:space="preserve">Stablecoin deposits from Asset Hub are confirmed via XCM acknowledgments. If Asset Hub is temporarily unreachable, campaign creation is queued rather than rejected.</w:t>
      </w:r>
    </w:p>
    <w:p>
      <w:pPr>
        <w:pStyle w:val="ListParagraph"/>
        <w:numPr>
          <w:ilvl w:val="0"/>
          <w:numId w:val="2"/>
        </w:numPr>
        <w:spacing w:after="60"/>
      </w:pPr>
      <w:r>
        <w:rPr>
          <w:rFonts w:ascii="Arial" w:cs="Arial" w:eastAsia="Arial" w:hAnsi="Arial"/>
          <w:b/>
          <w:bCs/>
          <w:color w:val="2D3748"/>
          <w:sz w:val="21"/>
          <w:szCs w:val="21"/>
        </w:rPr>
        <w:t xml:space="preserve">Liquidity Monitoring: </w:t>
      </w:r>
      <w:r>
        <w:rPr>
          <w:rFonts w:ascii="Arial" w:cs="Arial" w:eastAsia="Arial" w:hAnsi="Arial"/>
          <w:color w:val="2D3748"/>
          <w:sz w:val="21"/>
          <w:szCs w:val="21"/>
        </w:rPr>
        <w:t xml:space="preserve">The protocol queries HydraDX pool depth periodically. If DOT/stablecoin liquidity drops below a threshold, auto-swap is temporarily disabled for all users with a notification, preventing large slippage losses.</w:t>
      </w:r>
    </w:p>
    <w:p>
      <w:r>
        <w:br w:type="page"/>
      </w:r>
    </w:p>
    <w:p>
      <w:pPr>
        <w:pStyle w:val="Heading1"/>
        <w:spacing w:before="400" w:after="200"/>
      </w:pPr>
      <w:r>
        <w:rPr>
          <w:rFonts w:ascii="Arial" w:cs="Arial" w:eastAsia="Arial" w:hAnsi="Arial"/>
          <w:b/>
          <w:bCs/>
          <w:color w:val="1A365D"/>
          <w:sz w:val="32"/>
          <w:szCs w:val="32"/>
        </w:rPr>
        <w:t xml:space="preserve">5. Publisher SDK &amp; Ad Serving</w:t>
      </w:r>
    </w:p>
    <w:p>
      <w:pPr>
        <w:spacing w:after="120"/>
        <w:jc w:val="left"/>
      </w:pPr>
      <w:r>
        <w:rPr>
          <w:rFonts w:ascii="Arial" w:cs="Arial" w:eastAsia="Arial" w:hAnsi="Arial"/>
          <w:color w:val="2D3748"/>
          <w:sz w:val="21"/>
          <w:szCs w:val="21"/>
        </w:rPr>
        <w:t xml:space="preserve">Publishers integrate DATUM through either a JavaScript SDK embedded in their site/app, or the browser extension’s overlay system for non-integrated sites. Publishers must be KYB-verified to receive the full publisher revenue share.</w:t>
      </w:r>
    </w:p>
    <w:p>
      <w:pPr>
        <w:spacing w:after="60"/>
      </w:pPr>
    </w:p>
    <w:p>
      <w:pPr>
        <w:pStyle w:val="Heading2"/>
        <w:spacing w:before="300" w:after="150"/>
      </w:pPr>
      <w:r>
        <w:rPr>
          <w:rFonts w:ascii="Arial" w:cs="Arial" w:eastAsia="Arial" w:hAnsi="Arial"/>
          <w:b/>
          <w:bCs/>
          <w:color w:val="2B6CB0"/>
          <w:sz w:val="26"/>
          <w:szCs w:val="26"/>
        </w:rPr>
        <w:t xml:space="preserve">5.1 Native Publisher Integration (SDK)</w:t>
      </w:r>
    </w:p>
    <w:p>
      <w:pPr>
        <w:spacing w:after="120"/>
        <w:jc w:val="left"/>
      </w:pPr>
      <w:r>
        <w:rPr>
          <w:rFonts w:ascii="Arial" w:cs="Arial" w:eastAsia="Arial" w:hAnsi="Arial"/>
          <w:color w:val="2D3748"/>
          <w:sz w:val="21"/>
          <w:szCs w:val="21"/>
        </w:rPr>
        <w:t xml:space="preserve">Publishers embed a lightweight JavaScript snippet that registers ad slots and communicates with the user’s browser extension via the window.postMessage API.</w:t>
      </w:r>
    </w:p>
    <w:p>
      <w:pPr>
        <w:spacing w:after="40"/>
      </w:pPr>
    </w:p>
    <w:p>
      <w:pPr>
        <w:pStyle w:val="ListParagraph"/>
        <w:numPr>
          <w:ilvl w:val="0"/>
          <w:numId w:val="2"/>
        </w:numPr>
        <w:spacing w:after="60"/>
      </w:pPr>
      <w:r>
        <w:rPr>
          <w:rFonts w:ascii="Arial" w:cs="Arial" w:eastAsia="Arial" w:hAnsi="Arial"/>
          <w:b/>
          <w:bCs/>
          <w:color w:val="2D3748"/>
          <w:sz w:val="21"/>
          <w:szCs w:val="21"/>
        </w:rPr>
        <w:t xml:space="preserve">Ad Slot Registration: </w:t>
      </w:r>
      <w:r>
        <w:rPr>
          <w:rFonts w:ascii="Arial" w:cs="Arial" w:eastAsia="Arial" w:hAnsi="Arial"/>
          <w:color w:val="2D3748"/>
          <w:sz w:val="21"/>
          <w:szCs w:val="21"/>
        </w:rPr>
        <w:t xml:space="preserve">Publisher defines slot dimensions, accepted formats (display, text, video, rich media), and placement ID.</w:t>
      </w:r>
    </w:p>
    <w:p>
      <w:pPr>
        <w:pStyle w:val="ListParagraph"/>
        <w:numPr>
          <w:ilvl w:val="0"/>
          <w:numId w:val="2"/>
        </w:numPr>
        <w:spacing w:after="60"/>
      </w:pPr>
      <w:r>
        <w:rPr>
          <w:rFonts w:ascii="Arial" w:cs="Arial" w:eastAsia="Arial" w:hAnsi="Arial"/>
          <w:b/>
          <w:bCs/>
          <w:color w:val="2D3748"/>
          <w:sz w:val="21"/>
          <w:szCs w:val="21"/>
        </w:rPr>
        <w:t xml:space="preserve">Extension Handshake: </w:t>
      </w:r>
      <w:r>
        <w:rPr>
          <w:rFonts w:ascii="Arial" w:cs="Arial" w:eastAsia="Arial" w:hAnsi="Arial"/>
          <w:color w:val="2D3748"/>
          <w:sz w:val="21"/>
          <w:szCs w:val="21"/>
        </w:rPr>
        <w:t xml:space="preserve">The SDK checks for the DATUM extension via a known DOM element or custom event. If present, it requests an ad fill for the registered slots.</w:t>
      </w:r>
    </w:p>
    <w:p>
      <w:pPr>
        <w:pStyle w:val="ListParagraph"/>
        <w:numPr>
          <w:ilvl w:val="0"/>
          <w:numId w:val="2"/>
        </w:numPr>
        <w:spacing w:after="60"/>
      </w:pPr>
      <w:r>
        <w:rPr>
          <w:rFonts w:ascii="Arial" w:cs="Arial" w:eastAsia="Arial" w:hAnsi="Arial"/>
          <w:b/>
          <w:bCs/>
          <w:color w:val="2D3748"/>
          <w:sz w:val="21"/>
          <w:szCs w:val="21"/>
        </w:rPr>
        <w:t xml:space="preserve">Creative Rendering: </w:t>
      </w:r>
      <w:r>
        <w:rPr>
          <w:rFonts w:ascii="Arial" w:cs="Arial" w:eastAsia="Arial" w:hAnsi="Arial"/>
          <w:color w:val="2D3748"/>
          <w:sz w:val="21"/>
          <w:szCs w:val="21"/>
        </w:rPr>
        <w:t xml:space="preserve">The extension selects the auction-winning campaign, fetches the creative from local cache (or IPFS/CDN fallback), and passes it to the SDK for rendering in the publisher’s ad slot.</w:t>
      </w:r>
    </w:p>
    <w:p>
      <w:pPr>
        <w:pStyle w:val="ListParagraph"/>
        <w:numPr>
          <w:ilvl w:val="0"/>
          <w:numId w:val="2"/>
        </w:numPr>
        <w:spacing w:after="60"/>
      </w:pPr>
      <w:r>
        <w:rPr>
          <w:rFonts w:ascii="Arial" w:cs="Arial" w:eastAsia="Arial" w:hAnsi="Arial"/>
          <w:b/>
          <w:bCs/>
          <w:color w:val="2D3748"/>
          <w:sz w:val="21"/>
          <w:szCs w:val="21"/>
        </w:rPr>
        <w:t xml:space="preserve">Impression Confirmation: </w:t>
      </w:r>
      <w:r>
        <w:rPr>
          <w:rFonts w:ascii="Arial" w:cs="Arial" w:eastAsia="Arial" w:hAnsi="Arial"/>
          <w:color w:val="2D3748"/>
          <w:sz w:val="21"/>
          <w:szCs w:val="21"/>
        </w:rPr>
        <w:t xml:space="preserve">Both the extension and the SDK co-sign the impression event. The dual signature (user + publisher) adds fraud resistance. The SDK signs after verifying the creative was rendered in a visible, standard-sized slot.</w:t>
      </w:r>
    </w:p>
    <w:p>
      <w:pPr>
        <w:pStyle w:val="ListParagraph"/>
        <w:numPr>
          <w:ilvl w:val="0"/>
          <w:numId w:val="2"/>
        </w:numPr>
        <w:spacing w:after="60"/>
      </w:pPr>
      <w:r>
        <w:rPr>
          <w:rFonts w:ascii="Arial" w:cs="Arial" w:eastAsia="Arial" w:hAnsi="Arial"/>
          <w:b/>
          <w:bCs/>
          <w:color w:val="2D3748"/>
          <w:sz w:val="21"/>
          <w:szCs w:val="21"/>
        </w:rPr>
        <w:t xml:space="preserve">Publisher Identity: </w:t>
      </w:r>
      <w:r>
        <w:rPr>
          <w:rFonts w:ascii="Arial" w:cs="Arial" w:eastAsia="Arial" w:hAnsi="Arial"/>
          <w:color w:val="2D3748"/>
          <w:sz w:val="21"/>
          <w:szCs w:val="21"/>
        </w:rPr>
        <w:t xml:space="preserve">Publishers register on-chain with a Polkadot account, linking their domain to their account via DNS TXT record verification. KYB attestation is required for full revenue share.</w:t>
      </w:r>
    </w:p>
    <w:p>
      <w:pPr>
        <w:spacing w:after="60"/>
      </w:pPr>
    </w:p>
    <w:p>
      <w:pPr>
        <w:pStyle w:val="Heading2"/>
        <w:spacing w:before="300" w:after="150"/>
      </w:pPr>
      <w:r>
        <w:rPr>
          <w:rFonts w:ascii="Arial" w:cs="Arial" w:eastAsia="Arial" w:hAnsi="Arial"/>
          <w:b/>
          <w:bCs/>
          <w:color w:val="2B6CB0"/>
          <w:sz w:val="26"/>
          <w:szCs w:val="26"/>
        </w:rPr>
        <w:t xml:space="preserve">5.2 Extension Overlay (Non-Integrated Sites)</w:t>
      </w:r>
    </w:p>
    <w:p>
      <w:pPr>
        <w:spacing w:after="120"/>
        <w:jc w:val="left"/>
      </w:pPr>
      <w:r>
        <w:rPr>
          <w:rFonts w:ascii="Arial" w:cs="Arial" w:eastAsia="Arial" w:hAnsi="Arial"/>
          <w:color w:val="2D3748"/>
          <w:sz w:val="21"/>
          <w:szCs w:val="21"/>
        </w:rPr>
        <w:t xml:space="preserve">For sites without native integration, the extension can inject DATUM ads into existing ad slots or a dedicated overlay position.</w:t>
      </w:r>
    </w:p>
    <w:p>
      <w:pPr>
        <w:spacing w:after="40"/>
      </w:pPr>
    </w:p>
    <w:p>
      <w:pPr>
        <w:pStyle w:val="ListParagraph"/>
        <w:numPr>
          <w:ilvl w:val="0"/>
          <w:numId w:val="2"/>
        </w:numPr>
        <w:spacing w:after="60"/>
      </w:pPr>
      <w:r>
        <w:rPr>
          <w:rFonts w:ascii="Arial" w:cs="Arial" w:eastAsia="Arial" w:hAnsi="Arial"/>
          <w:b/>
          <w:bCs/>
          <w:color w:val="2D3748"/>
          <w:sz w:val="21"/>
          <w:szCs w:val="21"/>
        </w:rPr>
        <w:t xml:space="preserve">Slot Detection: </w:t>
      </w:r>
      <w:r>
        <w:rPr>
          <w:rFonts w:ascii="Arial" w:cs="Arial" w:eastAsia="Arial" w:hAnsi="Arial"/>
          <w:color w:val="2D3748"/>
          <w:sz w:val="21"/>
          <w:szCs w:val="21"/>
        </w:rPr>
        <w:t xml:space="preserve">The extension identifies common ad slot patterns (Google AdSense containers, standard IAB ad sizes) and can optionally replace them.</w:t>
      </w:r>
    </w:p>
    <w:p>
      <w:pPr>
        <w:pStyle w:val="ListParagraph"/>
        <w:numPr>
          <w:ilvl w:val="0"/>
          <w:numId w:val="2"/>
        </w:numPr>
        <w:spacing w:after="60"/>
      </w:pPr>
      <w:r>
        <w:rPr>
          <w:rFonts w:ascii="Arial" w:cs="Arial" w:eastAsia="Arial" w:hAnsi="Arial"/>
          <w:b/>
          <w:bCs/>
          <w:color w:val="2D3748"/>
          <w:sz w:val="21"/>
          <w:szCs w:val="21"/>
        </w:rPr>
        <w:t xml:space="preserve">User Control: </w:t>
      </w:r>
      <w:r>
        <w:rPr>
          <w:rFonts w:ascii="Arial" w:cs="Arial" w:eastAsia="Arial" w:hAnsi="Arial"/>
          <w:color w:val="2D3748"/>
          <w:sz w:val="21"/>
          <w:szCs w:val="21"/>
        </w:rPr>
        <w:t xml:space="preserve">Users can enable/disable overlay ads globally or per-site. The extension never injects ads without explicit user opt-in.</w:t>
      </w:r>
    </w:p>
    <w:p>
      <w:pPr>
        <w:pStyle w:val="ListParagraph"/>
        <w:numPr>
          <w:ilvl w:val="0"/>
          <w:numId w:val="2"/>
        </w:numPr>
        <w:spacing w:after="60"/>
      </w:pPr>
      <w:r>
        <w:rPr>
          <w:rFonts w:ascii="Arial" w:cs="Arial" w:eastAsia="Arial" w:hAnsi="Arial"/>
          <w:b/>
          <w:bCs/>
          <w:color w:val="2D3748"/>
          <w:sz w:val="21"/>
          <w:szCs w:val="21"/>
        </w:rPr>
        <w:t xml:space="preserve">Publisher Revenue: </w:t>
      </w:r>
      <w:r>
        <w:rPr>
          <w:rFonts w:ascii="Arial" w:cs="Arial" w:eastAsia="Arial" w:hAnsi="Arial"/>
          <w:color w:val="2D3748"/>
          <w:sz w:val="21"/>
          <w:szCs w:val="21"/>
        </w:rPr>
        <w:t xml:space="preserve">In overlay mode, the publisher share of revenue goes to the protocol treasury instead, since the publisher hasn’t opted in. This incentivizes native integration.</w:t>
      </w:r>
    </w:p>
    <w:p>
      <w:pPr>
        <w:spacing w:after="60"/>
      </w:pPr>
    </w:p>
    <w:p>
      <w:pPr>
        <w:pStyle w:val="Heading2"/>
        <w:spacing w:before="300" w:after="150"/>
      </w:pPr>
      <w:r>
        <w:rPr>
          <w:rFonts w:ascii="Arial" w:cs="Arial" w:eastAsia="Arial" w:hAnsi="Arial"/>
          <w:b/>
          <w:bCs/>
          <w:color w:val="2B6CB0"/>
          <w:sz w:val="26"/>
          <w:szCs w:val="26"/>
        </w:rPr>
        <w:t xml:space="preserve">5.3 Publisher Quality Scoring</w:t>
      </w:r>
    </w:p>
    <w:p>
      <w:pPr>
        <w:spacing w:after="120"/>
        <w:jc w:val="left"/>
      </w:pPr>
      <w:r>
        <w:rPr>
          <w:rFonts w:ascii="Arial" w:cs="Arial" w:eastAsia="Arial" w:hAnsi="Arial"/>
          <w:color w:val="2D3748"/>
          <w:sz w:val="21"/>
          <w:szCs w:val="21"/>
        </w:rPr>
        <w:t xml:space="preserve">Publisher quality scoring prevents fraudulent or low-quality publishers from exploiting the 55% revenue share. Scores are computed on-chain based on objective metrics and directly affect revenue.</w:t>
      </w:r>
    </w:p>
    <w:p>
      <w:pPr>
        <w:spacing w:after="40"/>
      </w:pPr>
    </w:p>
    <w:p>
      <w:pPr>
        <w:pStyle w:val="ListParagraph"/>
        <w:numPr>
          <w:ilvl w:val="0"/>
          <w:numId w:val="2"/>
        </w:numPr>
        <w:spacing w:after="60"/>
      </w:pPr>
      <w:r>
        <w:rPr>
          <w:rFonts w:ascii="Arial" w:cs="Arial" w:eastAsia="Arial" w:hAnsi="Arial"/>
          <w:b/>
          <w:bCs/>
          <w:color w:val="2D3748"/>
          <w:sz w:val="21"/>
          <w:szCs w:val="21"/>
        </w:rPr>
        <w:t xml:space="preserve">Score Components: </w:t>
      </w:r>
      <w:r>
        <w:rPr>
          <w:rFonts w:ascii="Arial" w:cs="Arial" w:eastAsia="Arial" w:hAnsi="Arial"/>
          <w:color w:val="2D3748"/>
          <w:sz w:val="21"/>
          <w:szCs w:val="21"/>
        </w:rPr>
        <w:t xml:space="preserve">(1) Impression consistency: standard deviation of daily claim volume (low variance = organic traffic), (2) Viewability rate: percentage of claims with valid viewability attestations, (3) Dual-signature rate: percentage of claims co-signed by the publisher SDK, (4) Unique user ratio: distinct user accounts per impression (low ratio suggests bot traffic), (5) Claim dispute rate: percentage of claims flagged or rejected during settlement.</w:t>
      </w:r>
    </w:p>
    <w:p>
      <w:pPr>
        <w:pStyle w:val="ListParagraph"/>
        <w:numPr>
          <w:ilvl w:val="0"/>
          <w:numId w:val="2"/>
        </w:numPr>
        <w:spacing w:after="60"/>
      </w:pPr>
      <w:r>
        <w:rPr>
          <w:rFonts w:ascii="Arial" w:cs="Arial" w:eastAsia="Arial" w:hAnsi="Arial"/>
          <w:b/>
          <w:bCs/>
          <w:color w:val="2D3748"/>
          <w:sz w:val="21"/>
          <w:szCs w:val="21"/>
        </w:rPr>
        <w:t xml:space="preserve">Score Calculation: </w:t>
      </w:r>
      <w:r>
        <w:rPr>
          <w:rFonts w:ascii="Arial" w:cs="Arial" w:eastAsia="Arial" w:hAnsi="Arial"/>
          <w:color w:val="2D3748"/>
          <w:sz w:val="21"/>
          <w:szCs w:val="21"/>
        </w:rPr>
        <w:t xml:space="preserve">Weighted composite of the above, normalized to 0.0–1.0. Updated daily based on a rolling 30-day window. New publishers start at 0.5 (70% of full publisher share).</w:t>
      </w:r>
    </w:p>
    <w:p>
      <w:pPr>
        <w:pStyle w:val="ListParagraph"/>
        <w:numPr>
          <w:ilvl w:val="0"/>
          <w:numId w:val="2"/>
        </w:numPr>
        <w:spacing w:after="60"/>
      </w:pPr>
      <w:r>
        <w:rPr>
          <w:rFonts w:ascii="Arial" w:cs="Arial" w:eastAsia="Arial" w:hAnsi="Arial"/>
          <w:b/>
          <w:bCs/>
          <w:color w:val="2D3748"/>
          <w:sz w:val="21"/>
          <w:szCs w:val="21"/>
        </w:rPr>
        <w:t xml:space="preserve">Revenue Scaling: </w:t>
      </w:r>
      <w:r>
        <w:rPr>
          <w:rFonts w:ascii="Arial" w:cs="Arial" w:eastAsia="Arial" w:hAnsi="Arial"/>
          <w:color w:val="2D3748"/>
          <w:sz w:val="21"/>
          <w:szCs w:val="21"/>
        </w:rPr>
        <w:t xml:space="preserve">Publisher share = base_publisher_rate × quality_score. A publisher with score 1.0 receives the full 55% share. A publisher with score 0.5 receives 27.5%. The unreceived portion goes to the protocol treasury.</w:t>
      </w:r>
    </w:p>
    <w:p>
      <w:pPr>
        <w:pStyle w:val="ListParagraph"/>
        <w:numPr>
          <w:ilvl w:val="0"/>
          <w:numId w:val="2"/>
        </w:numPr>
        <w:spacing w:after="60"/>
      </w:pPr>
      <w:r>
        <w:rPr>
          <w:rFonts w:ascii="Arial" w:cs="Arial" w:eastAsia="Arial" w:hAnsi="Arial"/>
          <w:b/>
          <w:bCs/>
          <w:color w:val="2D3748"/>
          <w:sz w:val="21"/>
          <w:szCs w:val="21"/>
        </w:rPr>
        <w:t xml:space="preserve">Threshold Enforcement: </w:t>
      </w:r>
      <w:r>
        <w:rPr>
          <w:rFonts w:ascii="Arial" w:cs="Arial" w:eastAsia="Arial" w:hAnsi="Arial"/>
          <w:color w:val="2D3748"/>
          <w:sz w:val="21"/>
          <w:szCs w:val="21"/>
        </w:rPr>
        <w:t xml:space="preserve">Publishers whose quality score drops below 0.2 for 14 consecutive days are automatically paused and must re-verify (KYB re-attestation + manual review) to re-enter the network.</w:t>
      </w:r>
    </w:p>
    <w:p>
      <w:pPr>
        <w:pStyle w:val="ListParagraph"/>
        <w:numPr>
          <w:ilvl w:val="0"/>
          <w:numId w:val="2"/>
        </w:numPr>
        <w:spacing w:after="60"/>
      </w:pPr>
      <w:r>
        <w:rPr>
          <w:rFonts w:ascii="Arial" w:cs="Arial" w:eastAsia="Arial" w:hAnsi="Arial"/>
          <w:b/>
          <w:bCs/>
          <w:color w:val="2D3748"/>
          <w:sz w:val="21"/>
          <w:szCs w:val="21"/>
        </w:rPr>
        <w:t xml:space="preserve">Publisher Governance Challenge: </w:t>
      </w:r>
      <w:r>
        <w:rPr>
          <w:rFonts w:ascii="Arial" w:cs="Arial" w:eastAsia="Arial" w:hAnsi="Arial"/>
          <w:color w:val="2D3748"/>
          <w:sz w:val="21"/>
          <w:szCs w:val="21"/>
        </w:rPr>
        <w:t xml:space="preserve">Similar to campaign governance, any DOT holder can stake to challenge a publisher’s legitimacy. If the challenge succeeds (conviction threshold met), the publisher is removed from the network and their pending payouts are redistributed.</w:t>
      </w:r>
    </w:p>
    <w:p>
      <w:pPr>
        <w:spacing w:after="60"/>
      </w:pPr>
    </w:p>
    <w:p>
      <w:pPr>
        <w:pStyle w:val="Heading2"/>
        <w:spacing w:before="300" w:after="150"/>
      </w:pPr>
      <w:r>
        <w:rPr>
          <w:rFonts w:ascii="Arial" w:cs="Arial" w:eastAsia="Arial" w:hAnsi="Arial"/>
          <w:b/>
          <w:bCs/>
          <w:color w:val="2B6CB0"/>
          <w:sz w:val="26"/>
          <w:szCs w:val="26"/>
        </w:rPr>
        <w:t xml:space="preserve">5.4 Supported Ad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70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Display (Banner)</w:t>
            </w:r>
          </w:p>
        </w:tc>
        <w:tc>
          <w:tcPr>
            <w:tcW w:type="dxa" w:w="70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Standard IAB sizes (300x250, 728x90, 160x600, etc.). Static images (PNG, JPEG, WebP) or animated (GIF, APNG). Max file size: 500KB.</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Text/Native</w:t>
            </w:r>
          </w:p>
        </w:tc>
        <w:tc>
          <w:tcPr>
            <w:tcW w:type="dxa" w:w="70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Headline + description + optional thumbnail. Rendered in the publisher’s native style via SDK templates.</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Video</w:t>
            </w:r>
          </w:p>
        </w:tc>
        <w:tc>
          <w:tcPr>
            <w:tcW w:type="dxa" w:w="70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VAST-compatible video ads. Stored on IPFS/Crust. Maximum duration 30 seconds, max file size 15MB. Viewability requires 2-second in-view with audio.</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Interactive/Rich Media</w:t>
            </w:r>
          </w:p>
        </w:tc>
        <w:tc>
          <w:tcPr>
            <w:tcW w:type="dxa" w:w="70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HTML5 creatives rendered in a sandboxed iframe. No external network requests allowed from within the creative. Max bundle size: 2MB.</w:t>
            </w:r>
          </w:p>
        </w:tc>
      </w:tr>
    </w:tbl>
    <w:p>
      <w:pPr>
        <w:spacing w:after="40"/>
      </w:pPr>
    </w:p>
    <w:p>
      <w:pPr>
        <w:spacing w:after="120"/>
        <w:jc w:val="left"/>
      </w:pPr>
      <w:r>
        <w:rPr>
          <w:rFonts w:ascii="Arial" w:cs="Arial" w:eastAsia="Arial" w:hAnsi="Arial"/>
          <w:b/>
          <w:bCs/>
          <w:color w:val="E53E3E"/>
          <w:sz w:val="21"/>
          <w:szCs w:val="21"/>
        </w:rPr>
        <w:t xml:space="preserve">Security Note: </w:t>
      </w:r>
      <w:r>
        <w:rPr>
          <w:rFonts w:ascii="Arial" w:cs="Arial" w:eastAsia="Arial" w:hAnsi="Arial"/>
          <w:color w:val="2D3748"/>
          <w:sz w:val="21"/>
          <w:szCs w:val="21"/>
        </w:rPr>
        <w:t xml:space="preserve">All creatives are fetched from IPFS via their content hash (CID). This means the creative served is exactly the creative that was approved during campaign activation. Even with CDN fallback, the extension always verifies the content hash matches the on-chain CID before rendering.</w:t>
      </w:r>
    </w:p>
    <w:p>
      <w:r>
        <w:br w:type="page"/>
      </w:r>
    </w:p>
    <w:p>
      <w:pPr>
        <w:pStyle w:val="Heading1"/>
        <w:spacing w:before="400" w:after="200"/>
      </w:pPr>
      <w:r>
        <w:rPr>
          <w:rFonts w:ascii="Arial" w:cs="Arial" w:eastAsia="Arial" w:hAnsi="Arial"/>
          <w:b/>
          <w:bCs/>
          <w:color w:val="1A365D"/>
          <w:sz w:val="32"/>
          <w:szCs w:val="32"/>
        </w:rPr>
        <w:t xml:space="preserve">6. Identity &amp; Verification</w:t>
      </w:r>
    </w:p>
    <w:p>
      <w:pPr>
        <w:spacing w:after="120"/>
        <w:jc w:val="left"/>
      </w:pPr>
      <w:r>
        <w:rPr>
          <w:rFonts w:ascii="Arial" w:cs="Arial" w:eastAsia="Arial" w:hAnsi="Arial"/>
          <w:color w:val="2D3748"/>
          <w:sz w:val="21"/>
          <w:szCs w:val="21"/>
        </w:rPr>
        <w:t xml:space="preserve">DATUM requires verified identities at two levels: businesses (advertisers and publishers) must pass Know Your Business (KYB) attestation for legal accountability, and users must authenticate to prevent sybil-driven impression farming. The system is designed with a clear upgrade path from simple signed accounts to full proof-of-personhood.</w:t>
      </w:r>
    </w:p>
    <w:p>
      <w:pPr>
        <w:spacing w:after="60"/>
      </w:pPr>
    </w:p>
    <w:p>
      <w:pPr>
        <w:pStyle w:val="Heading2"/>
        <w:spacing w:before="300" w:after="150"/>
      </w:pPr>
      <w:r>
        <w:rPr>
          <w:rFonts w:ascii="Arial" w:cs="Arial" w:eastAsia="Arial" w:hAnsi="Arial"/>
          <w:b/>
          <w:bCs/>
          <w:color w:val="2B6CB0"/>
          <w:sz w:val="26"/>
          <w:szCs w:val="26"/>
        </w:rPr>
        <w:t xml:space="preserve">6.1 Business KYB Attestation</w:t>
      </w:r>
    </w:p>
    <w:p>
      <w:pPr>
        <w:spacing w:after="120"/>
        <w:jc w:val="left"/>
      </w:pPr>
      <w:r>
        <w:rPr>
          <w:rFonts w:ascii="Arial" w:cs="Arial" w:eastAsia="Arial" w:hAnsi="Arial"/>
          <w:color w:val="2D3748"/>
          <w:sz w:val="21"/>
          <w:szCs w:val="21"/>
        </w:rPr>
        <w:t xml:space="preserve">All advertisers and publishers must complete KYB verification before participating in the DATUM marketplace. This is a hard requirement — no unverified business can create campaigns or register as a publisher.</w:t>
      </w:r>
    </w:p>
    <w:p>
      <w:pPr>
        <w:spacing w:after="40"/>
      </w:pPr>
    </w:p>
    <w:p>
      <w:pPr>
        <w:spacing w:before="200" w:after="100"/>
      </w:pPr>
      <w:r>
        <w:rPr>
          <w:rFonts w:ascii="Arial" w:cs="Arial" w:eastAsia="Arial" w:hAnsi="Arial"/>
          <w:b/>
          <w:bCs/>
          <w:color w:val="1A365D"/>
          <w:sz w:val="22"/>
          <w:szCs w:val="22"/>
        </w:rPr>
        <w:t xml:space="preserve">6.1.1 KYB Process</w:t>
      </w:r>
    </w:p>
    <w:p>
      <w:pPr>
        <w:pStyle w:val="ListParagraph"/>
        <w:numPr>
          <w:ilvl w:val="0"/>
          <w:numId w:val="4"/>
        </w:numPr>
        <w:spacing w:after="80"/>
      </w:pPr>
      <w:r>
        <w:rPr>
          <w:rFonts w:ascii="Arial" w:cs="Arial" w:eastAsia="Arial" w:hAnsi="Arial"/>
          <w:b/>
          <w:bCs/>
          <w:color w:val="2D3748"/>
          <w:sz w:val="21"/>
          <w:szCs w:val="21"/>
        </w:rPr>
        <w:t xml:space="preserve">Application: </w:t>
      </w:r>
      <w:r>
        <w:rPr>
          <w:rFonts w:ascii="Arial" w:cs="Arial" w:eastAsia="Arial" w:hAnsi="Arial"/>
          <w:color w:val="2D3748"/>
          <w:sz w:val="21"/>
          <w:szCs w:val="21"/>
        </w:rPr>
        <w:t xml:space="preserve">Business registers on-chain with a Polkadot account and submits KYB application including business name, jurisdiction, registration number, and authorized representative.</w:t>
      </w:r>
    </w:p>
    <w:p>
      <w:pPr>
        <w:pStyle w:val="ListParagraph"/>
        <w:numPr>
          <w:ilvl w:val="0"/>
          <w:numId w:val="4"/>
        </w:numPr>
        <w:spacing w:after="80"/>
      </w:pPr>
      <w:r>
        <w:rPr>
          <w:rFonts w:ascii="Arial" w:cs="Arial" w:eastAsia="Arial" w:hAnsi="Arial"/>
          <w:b/>
          <w:bCs/>
          <w:color w:val="2D3748"/>
          <w:sz w:val="21"/>
          <w:szCs w:val="21"/>
        </w:rPr>
        <w:t xml:space="preserve">Off-Chain Verification: </w:t>
      </w:r>
      <w:r>
        <w:rPr>
          <w:rFonts w:ascii="Arial" w:cs="Arial" w:eastAsia="Arial" w:hAnsi="Arial"/>
          <w:color w:val="2D3748"/>
          <w:sz w:val="21"/>
          <w:szCs w:val="21"/>
        </w:rPr>
        <w:t xml:space="preserve">An approved KYB oracle provider performs the verification against government registries, sanctions lists, and business databases. Verification happens off-chain to protect sensitive business documents.</w:t>
      </w:r>
    </w:p>
    <w:p>
      <w:pPr>
        <w:pStyle w:val="ListParagraph"/>
        <w:numPr>
          <w:ilvl w:val="0"/>
          <w:numId w:val="4"/>
        </w:numPr>
        <w:spacing w:after="80"/>
      </w:pPr>
      <w:r>
        <w:rPr>
          <w:rFonts w:ascii="Arial" w:cs="Arial" w:eastAsia="Arial" w:hAnsi="Arial"/>
          <w:b/>
          <w:bCs/>
          <w:color w:val="2D3748"/>
          <w:sz w:val="21"/>
          <w:szCs w:val="21"/>
        </w:rPr>
        <w:t xml:space="preserve">On-Chain Attestation: </w:t>
      </w:r>
      <w:r>
        <w:rPr>
          <w:rFonts w:ascii="Arial" w:cs="Arial" w:eastAsia="Arial" w:hAnsi="Arial"/>
          <w:color w:val="2D3748"/>
          <w:sz w:val="21"/>
          <w:szCs w:val="21"/>
        </w:rPr>
        <w:t xml:space="preserve">The oracle provider submits a signed attestation to pallet-identity confirming KYB status. The attestation includes a hash of the verification evidence (not the evidence itself) for auditability.</w:t>
      </w:r>
    </w:p>
    <w:p>
      <w:pPr>
        <w:pStyle w:val="ListParagraph"/>
        <w:numPr>
          <w:ilvl w:val="0"/>
          <w:numId w:val="4"/>
        </w:numPr>
        <w:spacing w:after="80"/>
      </w:pPr>
      <w:r>
        <w:rPr>
          <w:rFonts w:ascii="Arial" w:cs="Arial" w:eastAsia="Arial" w:hAnsi="Arial"/>
          <w:b/>
          <w:bCs/>
          <w:color w:val="2D3748"/>
          <w:sz w:val="21"/>
          <w:szCs w:val="21"/>
        </w:rPr>
        <w:t xml:space="preserve">Activation: </w:t>
      </w:r>
      <w:r>
        <w:rPr>
          <w:rFonts w:ascii="Arial" w:cs="Arial" w:eastAsia="Arial" w:hAnsi="Arial"/>
          <w:color w:val="2D3748"/>
          <w:sz w:val="21"/>
          <w:szCs w:val="21"/>
        </w:rPr>
        <w:t xml:space="preserve">Once attested, the business account is flagged as verified and can create campaigns (if advertiser) or register ad slots (if publisher).</w:t>
      </w:r>
    </w:p>
    <w:p>
      <w:pPr>
        <w:pStyle w:val="ListParagraph"/>
        <w:numPr>
          <w:ilvl w:val="0"/>
          <w:numId w:val="4"/>
        </w:numPr>
        <w:spacing w:after="80"/>
      </w:pPr>
      <w:r>
        <w:rPr>
          <w:rFonts w:ascii="Arial" w:cs="Arial" w:eastAsia="Arial" w:hAnsi="Arial"/>
          <w:b/>
          <w:bCs/>
          <w:color w:val="2D3748"/>
          <w:sz w:val="21"/>
          <w:szCs w:val="21"/>
        </w:rPr>
        <w:t xml:space="preserve">Renewal: </w:t>
      </w:r>
      <w:r>
        <w:rPr>
          <w:rFonts w:ascii="Arial" w:cs="Arial" w:eastAsia="Arial" w:hAnsi="Arial"/>
          <w:color w:val="2D3748"/>
          <w:sz w:val="21"/>
          <w:szCs w:val="21"/>
        </w:rPr>
        <w:t xml:space="preserve">KYB attestations expire after a configurable period (default 12 months). The business must re-verify before expiry or their active campaigns are paused and ad slots deactivated.</w:t>
      </w:r>
    </w:p>
    <w:p>
      <w:pPr>
        <w:spacing w:after="40"/>
      </w:pPr>
    </w:p>
    <w:p>
      <w:pPr>
        <w:spacing w:before="200" w:after="100"/>
      </w:pPr>
      <w:r>
        <w:rPr>
          <w:rFonts w:ascii="Arial" w:cs="Arial" w:eastAsia="Arial" w:hAnsi="Arial"/>
          <w:b/>
          <w:bCs/>
          <w:color w:val="1A365D"/>
          <w:sz w:val="22"/>
          <w:szCs w:val="22"/>
        </w:rPr>
        <w:t xml:space="preserve">6.1.2 Recommended KYB Oracle Providers</w:t>
      </w:r>
    </w:p>
    <w:p>
      <w:pPr>
        <w:spacing w:after="120"/>
        <w:jc w:val="left"/>
      </w:pPr>
      <w:r>
        <w:rPr>
          <w:rFonts w:ascii="Arial" w:cs="Arial" w:eastAsia="Arial" w:hAnsi="Arial"/>
          <w:color w:val="2D3748"/>
          <w:sz w:val="21"/>
          <w:szCs w:val="21"/>
        </w:rPr>
        <w:t xml:space="preserve">The protocol should support multiple KYB providers to avoid single points of failure and accommodate different jurisdictions.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Provider / Approach</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Tradeoffs</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KILT Protocol</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Polkadot-native decentralized identity protocol. Supports verifiable credentials with selective disclosure. Already integrated into the Polkadot ecosystem.</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Best ecosystem fit. Native Substrate integration. Credential revocation built in. Still maturing for enterprise KYB use cases.</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Fractal ID</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Web3-native identity verification with KYC/KYB services. Existing Polkadot ecosystem partnerships.</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Strong Web3 focus. Multi-chain. Centralized verification (decentralized attestation). Regulatory compliance built in.</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Litentry / IdentityHub</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Polkadot parachain for aggregated cross-chain identity. Could provide identity aggregation combining multiple signals.</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Polkadot-native. Aggregation model fits well. Primarily identity aggregation rather than primary KYB.</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W3C Verifiable Credentials</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Protocol-level support for any W3C-compliant verifiable credential issuer. Maximum flexibility.</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Standards-based. Requires maintaining approved issuer registry. BBS+ signatures enable selective disclosure.</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Hybrid: Registrar Model</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Modeled after Polkadot’s existing on-chain identity registrar system. Multiple independent registrars attest to business identity.</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Proven model in Polkadot. Decentralized trust. Requires governance overhead.</w:t>
            </w:r>
          </w:p>
        </w:tc>
      </w:tr>
    </w:tbl>
    <w:p>
      <w:pPr>
        <w:spacing w:after="40"/>
      </w:pPr>
    </w:p>
    <w:p>
      <w:pPr>
        <w:spacing w:after="120"/>
        <w:jc w:val="left"/>
      </w:pPr>
      <w:r>
        <w:rPr>
          <w:rFonts w:ascii="Arial" w:cs="Arial" w:eastAsia="Arial" w:hAnsi="Arial"/>
          <w:b/>
          <w:bCs/>
          <w:color w:val="2B6CB0"/>
          <w:sz w:val="21"/>
          <w:szCs w:val="21"/>
        </w:rPr>
        <w:t xml:space="preserve">Recommendation: </w:t>
      </w:r>
      <w:r>
        <w:rPr>
          <w:rFonts w:ascii="Arial" w:cs="Arial" w:eastAsia="Arial" w:hAnsi="Arial"/>
          <w:color w:val="2D3748"/>
          <w:sz w:val="21"/>
          <w:szCs w:val="21"/>
        </w:rPr>
        <w:t xml:space="preserve">For the MVP, integrate KILT Protocol as the primary KYB provider. Design pallet-identity to be provider-agnostic so additional providers can be added via governance without runtime upgrades.</w:t>
      </w:r>
    </w:p>
    <w:p>
      <w:pPr>
        <w:spacing w:after="60"/>
      </w:pPr>
    </w:p>
    <w:p>
      <w:pPr>
        <w:pStyle w:val="Heading2"/>
        <w:spacing w:before="300" w:after="150"/>
      </w:pPr>
      <w:r>
        <w:rPr>
          <w:rFonts w:ascii="Arial" w:cs="Arial" w:eastAsia="Arial" w:hAnsi="Arial"/>
          <w:b/>
          <w:bCs/>
          <w:color w:val="2B6CB0"/>
          <w:sz w:val="26"/>
          <w:szCs w:val="26"/>
        </w:rPr>
        <w:t xml:space="preserve">6.2 User Verification</w:t>
      </w:r>
    </w:p>
    <w:p>
      <w:pPr>
        <w:spacing w:after="120"/>
        <w:jc w:val="left"/>
      </w:pPr>
      <w:r>
        <w:rPr>
          <w:rFonts w:ascii="Arial" w:cs="Arial" w:eastAsia="Arial" w:hAnsi="Arial"/>
          <w:color w:val="2D3748"/>
          <w:sz w:val="21"/>
          <w:szCs w:val="21"/>
        </w:rPr>
        <w:t xml:space="preserve">User verification prevents sybil attacks where a single entity creates thousands of accounts to farm impression rewards. The verification requirement evolves over time.</w:t>
      </w:r>
    </w:p>
    <w:p>
      <w:pPr>
        <w:spacing w:after="40"/>
      </w:pPr>
    </w:p>
    <w:p>
      <w:pPr>
        <w:spacing w:before="200" w:after="100"/>
      </w:pPr>
      <w:r>
        <w:rPr>
          <w:rFonts w:ascii="Arial" w:cs="Arial" w:eastAsia="Arial" w:hAnsi="Arial"/>
          <w:b/>
          <w:bCs/>
          <w:color w:val="1A365D"/>
          <w:sz w:val="22"/>
          <w:szCs w:val="22"/>
        </w:rPr>
        <w:t xml:space="preserve">6.2.1 MVP: Signed Account Verification</w:t>
      </w:r>
    </w:p>
    <w:p>
      <w:pPr>
        <w:pStyle w:val="ListParagraph"/>
        <w:numPr>
          <w:ilvl w:val="0"/>
          <w:numId w:val="2"/>
        </w:numPr>
        <w:spacing w:after="60"/>
      </w:pPr>
      <w:r>
        <w:rPr>
          <w:rFonts w:ascii="Arial" w:cs="Arial" w:eastAsia="Arial" w:hAnsi="Arial"/>
          <w:b/>
          <w:bCs/>
          <w:color w:val="2D3748"/>
          <w:sz w:val="21"/>
          <w:szCs w:val="21"/>
        </w:rPr>
        <w:t xml:space="preserve">Account Binding: </w:t>
      </w:r>
      <w:r>
        <w:rPr>
          <w:rFonts w:ascii="Arial" w:cs="Arial" w:eastAsia="Arial" w:hAnsi="Arial"/>
          <w:color w:val="2D3748"/>
          <w:sz w:val="21"/>
          <w:szCs w:val="21"/>
        </w:rPr>
        <w:t xml:space="preserve">The browser extension generates or imports a Polkadot keypair. All impression claims are signed with this key.</w:t>
      </w:r>
    </w:p>
    <w:p>
      <w:pPr>
        <w:pStyle w:val="ListParagraph"/>
        <w:numPr>
          <w:ilvl w:val="0"/>
          <w:numId w:val="2"/>
        </w:numPr>
        <w:spacing w:after="60"/>
      </w:pPr>
      <w:r>
        <w:rPr>
          <w:rFonts w:ascii="Arial" w:cs="Arial" w:eastAsia="Arial" w:hAnsi="Arial"/>
          <w:b/>
          <w:bCs/>
          <w:color w:val="2D3748"/>
          <w:sz w:val="21"/>
          <w:szCs w:val="21"/>
        </w:rPr>
        <w:t xml:space="preserve">Account Registration: </w:t>
      </w:r>
      <w:r>
        <w:rPr>
          <w:rFonts w:ascii="Arial" w:cs="Arial" w:eastAsia="Arial" w:hAnsi="Arial"/>
          <w:color w:val="2D3748"/>
          <w:sz w:val="21"/>
          <w:szCs w:val="21"/>
        </w:rPr>
        <w:t xml:space="preserve">Users submit a registration extrinsic with an anti-spam deposit. The pallet initializes their nonce_counter to 0 and last_claim_hash to a known zero hash.</w:t>
      </w:r>
    </w:p>
    <w:p>
      <w:pPr>
        <w:pStyle w:val="ListParagraph"/>
        <w:numPr>
          <w:ilvl w:val="0"/>
          <w:numId w:val="2"/>
        </w:numPr>
        <w:spacing w:after="60"/>
      </w:pPr>
      <w:r>
        <w:rPr>
          <w:rFonts w:ascii="Arial" w:cs="Arial" w:eastAsia="Arial" w:hAnsi="Arial"/>
          <w:b/>
          <w:bCs/>
          <w:color w:val="2D3748"/>
          <w:sz w:val="21"/>
          <w:szCs w:val="21"/>
        </w:rPr>
        <w:t xml:space="preserve">Rate Limiting: </w:t>
      </w:r>
      <w:r>
        <w:rPr>
          <w:rFonts w:ascii="Arial" w:cs="Arial" w:eastAsia="Arial" w:hAnsi="Arial"/>
          <w:color w:val="2D3748"/>
          <w:sz w:val="21"/>
          <w:szCs w:val="21"/>
        </w:rPr>
        <w:t xml:space="preserve">Per-account rate limits on impression claims (e.g., maximum 500 claims per day) provide a basic sybil mitigation layer.</w:t>
      </w:r>
    </w:p>
    <w:p>
      <w:pPr>
        <w:pStyle w:val="ListParagraph"/>
        <w:numPr>
          <w:ilvl w:val="0"/>
          <w:numId w:val="2"/>
        </w:numPr>
        <w:spacing w:after="60"/>
      </w:pPr>
      <w:r>
        <w:rPr>
          <w:rFonts w:ascii="Arial" w:cs="Arial" w:eastAsia="Arial" w:hAnsi="Arial"/>
          <w:b/>
          <w:bCs/>
          <w:color w:val="2D3748"/>
          <w:sz w:val="21"/>
          <w:szCs w:val="21"/>
        </w:rPr>
        <w:t xml:space="preserve">Reputation Scoring: </w:t>
      </w:r>
      <w:r>
        <w:rPr>
          <w:rFonts w:ascii="Arial" w:cs="Arial" w:eastAsia="Arial" w:hAnsi="Arial"/>
          <w:color w:val="2D3748"/>
          <w:sz w:val="21"/>
          <w:szCs w:val="21"/>
        </w:rPr>
        <w:t xml:space="preserve">Over time, accounts build on-chain reputation based on claim consistency, publisher co-signatures, and non-flagged behavior.</w:t>
      </w:r>
    </w:p>
    <w:p>
      <w:pPr>
        <w:spacing w:after="40"/>
      </w:pPr>
    </w:p>
    <w:p>
      <w:pPr>
        <w:spacing w:after="120"/>
        <w:jc w:val="left"/>
      </w:pPr>
      <w:r>
        <w:rPr>
          <w:rFonts w:ascii="Arial" w:cs="Arial" w:eastAsia="Arial" w:hAnsi="Arial"/>
          <w:b/>
          <w:bCs/>
          <w:color w:val="E53E3E"/>
          <w:sz w:val="21"/>
          <w:szCs w:val="21"/>
        </w:rPr>
        <w:t xml:space="preserve">Known Limitation: </w:t>
      </w:r>
      <w:r>
        <w:rPr>
          <w:rFonts w:ascii="Arial" w:cs="Arial" w:eastAsia="Arial" w:hAnsi="Arial"/>
          <w:color w:val="2D3748"/>
          <w:sz w:val="21"/>
          <w:szCs w:val="21"/>
        </w:rPr>
        <w:t xml:space="preserve">Signed accounts alone do not prevent a single person from operating multiple accounts. This is why proof-of-personhood is on the roadmap.</w:t>
      </w:r>
    </w:p>
    <w:p>
      <w:pPr>
        <w:spacing w:after="40"/>
      </w:pPr>
    </w:p>
    <w:p>
      <w:pPr>
        <w:spacing w:before="200" w:after="100"/>
      </w:pPr>
      <w:r>
        <w:rPr>
          <w:rFonts w:ascii="Arial" w:cs="Arial" w:eastAsia="Arial" w:hAnsi="Arial"/>
          <w:b/>
          <w:bCs/>
          <w:color w:val="1A365D"/>
          <w:sz w:val="22"/>
          <w:szCs w:val="22"/>
        </w:rPr>
        <w:t xml:space="preserve">6.2.2 Future: Proof-of-Personhood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PoP System</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DATUM Integration Notes</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Worldcoin / World ID</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Iris biometric scanning. ZK proofs of uniqueness without revealing identity.</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Strong uniqueness. Privacy-preserving. Controversial biometrics. Hardware dependency.</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Gitcoin Passport</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Aggregated identity signals into a composite humanity score.</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Flexible, composable. Configurable threshold. Lower uniqueness but more accessible.</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Proof of Humanity</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Social verification with deposits at risk. Video submission. Kleros disputes.</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Fully decentralized. No biometrics. Ethereum-based, needs bridging. Vulnerable to collusion.</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Encointer</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Physical key-signing ceremonies. Substrate-based.</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Substrate-native. Strong sybil resistance. Requires local communities.</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KILT DID + Web3name</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Decentralized identifiers aggregating PoP attestations from multiple providers.</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Natural integration point. Credential aggregation layer for any PoP system.</w:t>
            </w:r>
          </w:p>
        </w:tc>
      </w:tr>
    </w:tbl>
    <w:p>
      <w:pPr>
        <w:spacing w:after="40"/>
      </w:pPr>
    </w:p>
    <w:p>
      <w:pPr>
        <w:spacing w:after="120"/>
        <w:jc w:val="left"/>
      </w:pPr>
      <w:r>
        <w:rPr>
          <w:rFonts w:ascii="Arial" w:cs="Arial" w:eastAsia="Arial" w:hAnsi="Arial"/>
          <w:b/>
          <w:bCs/>
          <w:color w:val="2B6CB0"/>
          <w:sz w:val="21"/>
          <w:szCs w:val="21"/>
        </w:rPr>
        <w:t xml:space="preserve">Recommendation: </w:t>
      </w:r>
      <w:r>
        <w:rPr>
          <w:rFonts w:ascii="Arial" w:cs="Arial" w:eastAsia="Arial" w:hAnsi="Arial"/>
          <w:color w:val="2D3748"/>
          <w:sz w:val="21"/>
          <w:szCs w:val="21"/>
        </w:rPr>
        <w:t xml:space="preserve">Prioritize Encointer (Substrate-native) and/or Gitcoin Passport (flexible). Use KILT as the credential aggregation layer.</w:t>
      </w:r>
    </w:p>
    <w:p>
      <w:pPr>
        <w:spacing w:after="60"/>
      </w:pPr>
    </w:p>
    <w:p>
      <w:pPr>
        <w:pStyle w:val="Heading2"/>
        <w:spacing w:before="300" w:after="150"/>
      </w:pPr>
      <w:r>
        <w:rPr>
          <w:rFonts w:ascii="Arial" w:cs="Arial" w:eastAsia="Arial" w:hAnsi="Arial"/>
          <w:b/>
          <w:bCs/>
          <w:color w:val="2B6CB0"/>
          <w:sz w:val="26"/>
          <w:szCs w:val="26"/>
        </w:rPr>
        <w:t xml:space="preserve">6.3 Verification Tiers &amp; Access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5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25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Capabilities</w:t>
            </w:r>
          </w:p>
        </w:tc>
        <w:tc>
          <w:tcPr>
            <w:tcW w:type="dxa" w:w="25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Earning Rate</w:t>
            </w:r>
          </w:p>
        </w:tc>
      </w:tr>
      <w:tr>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Tier 0: Unverified</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None</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View ads only (no earnings)</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None</w:t>
            </w:r>
          </w:p>
        </w:tc>
      </w:tr>
      <w:tr>
        <w:tc>
          <w:tcPr>
            <w:tcW w:type="dxa" w:w="1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Tier 1: Signed Account</w:t>
            </w:r>
          </w:p>
        </w:tc>
        <w:tc>
          <w:tcPr>
            <w:tcW w:type="dxa" w:w="25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Registered account + deposit</w:t>
            </w:r>
          </w:p>
        </w:tc>
        <w:tc>
          <w:tcPr>
            <w:tcW w:type="dxa" w:w="25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Submit claims, earn rewards, vote</w:t>
            </w:r>
          </w:p>
        </w:tc>
        <w:tc>
          <w:tcPr>
            <w:tcW w:type="dxa" w:w="25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Base rate (1.0x)</w:t>
            </w:r>
          </w:p>
        </w:tc>
      </w:tr>
      <w:tr>
        <w:tc>
          <w:tcPr>
            <w:tcW w:type="dxa" w:w="1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Tier 2: PoP Verified</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PoP attestation from approved provider</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All Tier 1 + higher rate limits + reduced deposit</w:t>
            </w:r>
          </w:p>
        </w:tc>
        <w:tc>
          <w:tcPr>
            <w:tcW w:type="dxa" w:w="25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Enhanced (1.5–2.0x)</w:t>
            </w:r>
          </w:p>
        </w:tc>
      </w:tr>
      <w:tr>
        <w:tc>
          <w:tcPr>
            <w:tcW w:type="dxa" w:w="1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Business: KYB Verified</w:t>
            </w:r>
          </w:p>
        </w:tc>
        <w:tc>
          <w:tcPr>
            <w:tcW w:type="dxa" w:w="25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KYB attestation</w:t>
            </w:r>
          </w:p>
        </w:tc>
        <w:tc>
          <w:tcPr>
            <w:tcW w:type="dxa" w:w="25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Create campaigns, register ad slots</w:t>
            </w:r>
          </w:p>
        </w:tc>
        <w:tc>
          <w:tcPr>
            <w:tcW w:type="dxa" w:w="25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N/A (business role)</w:t>
            </w:r>
          </w:p>
        </w:tc>
      </w:tr>
    </w:tbl>
    <w:p>
      <w:r>
        <w:br w:type="page"/>
      </w:r>
    </w:p>
    <w:p>
      <w:pPr>
        <w:pStyle w:val="Heading1"/>
        <w:spacing w:before="400" w:after="200"/>
      </w:pPr>
      <w:r>
        <w:rPr>
          <w:rFonts w:ascii="Arial" w:cs="Arial" w:eastAsia="Arial" w:hAnsi="Arial"/>
          <w:b/>
          <w:bCs/>
          <w:color w:val="1A365D"/>
          <w:sz w:val="32"/>
          <w:szCs w:val="32"/>
        </w:rPr>
        <w:t xml:space="preserve">7. Campaign Governance &amp; Moderation</w:t>
      </w:r>
    </w:p>
    <w:p>
      <w:pPr>
        <w:spacing w:after="120"/>
        <w:jc w:val="left"/>
      </w:pPr>
      <w:r>
        <w:rPr>
          <w:rFonts w:ascii="Arial" w:cs="Arial" w:eastAsia="Arial" w:hAnsi="Arial"/>
          <w:color w:val="2D3748"/>
          <w:sz w:val="21"/>
          <w:szCs w:val="21"/>
        </w:rPr>
        <w:t xml:space="preserve">DATUM’s governance system is a continuous approval mechanism. Campaigns must earn and maintain social license to operate through conviction-weighted staking. This section describes the full moderation flow, including the creative content review process.</w:t>
      </w:r>
    </w:p>
    <w:p>
      <w:pPr>
        <w:spacing w:after="60"/>
      </w:pPr>
    </w:p>
    <w:p>
      <w:pPr>
        <w:pStyle w:val="Heading2"/>
        <w:spacing w:before="300" w:after="150"/>
      </w:pPr>
      <w:r>
        <w:rPr>
          <w:rFonts w:ascii="Arial" w:cs="Arial" w:eastAsia="Arial" w:hAnsi="Arial"/>
          <w:b/>
          <w:bCs/>
          <w:color w:val="2B6CB0"/>
          <w:sz w:val="26"/>
          <w:szCs w:val="26"/>
        </w:rPr>
        <w:t xml:space="preserve">7.1 Campaign Activation &amp; Content Review</w:t>
      </w:r>
    </w:p>
    <w:p>
      <w:pPr>
        <w:pStyle w:val="ListParagraph"/>
        <w:numPr>
          <w:ilvl w:val="0"/>
          <w:numId w:val="5"/>
        </w:numPr>
        <w:spacing w:after="80"/>
      </w:pPr>
      <w:r>
        <w:rPr>
          <w:rFonts w:ascii="Arial" w:cs="Arial" w:eastAsia="Arial" w:hAnsi="Arial"/>
          <w:b/>
          <w:bCs/>
          <w:color w:val="2D3748"/>
          <w:sz w:val="21"/>
          <w:szCs w:val="21"/>
        </w:rPr>
        <w:t xml:space="preserve">Submission: </w:t>
      </w:r>
      <w:r>
        <w:rPr>
          <w:rFonts w:ascii="Arial" w:cs="Arial" w:eastAsia="Arial" w:hAnsi="Arial"/>
          <w:color w:val="2D3748"/>
          <w:sz w:val="21"/>
          <w:szCs w:val="21"/>
        </w:rPr>
        <w:t xml:space="preserve">Advertiser creates a campaign with budget, targeting criteria, bid CPM, creative CIDs, and an optional aye reward pool.</w:t>
      </w:r>
    </w:p>
    <w:p>
      <w:pPr>
        <w:pStyle w:val="ListParagraph"/>
        <w:numPr>
          <w:ilvl w:val="0"/>
          <w:numId w:val="5"/>
        </w:numPr>
        <w:spacing w:after="80"/>
      </w:pPr>
      <w:r>
        <w:rPr>
          <w:rFonts w:ascii="Arial" w:cs="Arial" w:eastAsia="Arial" w:hAnsi="Arial"/>
          <w:b/>
          <w:bCs/>
          <w:color w:val="2D3748"/>
          <w:sz w:val="21"/>
          <w:szCs w:val="21"/>
        </w:rPr>
        <w:t xml:space="preserve">Creative Preview: </w:t>
      </w:r>
      <w:r>
        <w:rPr>
          <w:rFonts w:ascii="Arial" w:cs="Arial" w:eastAsia="Arial" w:hAnsi="Arial"/>
          <w:color w:val="2D3748"/>
          <w:sz w:val="21"/>
          <w:szCs w:val="21"/>
        </w:rPr>
        <w:t xml:space="preserve">The campaign’s creative is rendered in a preview UI accessible to any potential aye voter. The governance interface shows the creative exactly as it would appear to users, including all supported formats. Voters are prompted to confirm they have reviewed the creative before casting an aye vote.</w:t>
      </w:r>
    </w:p>
    <w:p>
      <w:pPr>
        <w:pStyle w:val="ListParagraph"/>
        <w:numPr>
          <w:ilvl w:val="0"/>
          <w:numId w:val="5"/>
        </w:numPr>
        <w:spacing w:after="80"/>
      </w:pPr>
      <w:r>
        <w:rPr>
          <w:rFonts w:ascii="Arial" w:cs="Arial" w:eastAsia="Arial" w:hAnsi="Arial"/>
          <w:b/>
          <w:bCs/>
          <w:color w:val="2D3748"/>
          <w:sz w:val="21"/>
          <w:szCs w:val="21"/>
        </w:rPr>
        <w:t xml:space="preserve">Aye Voting with Review Attestation: </w:t>
      </w:r>
      <w:r>
        <w:rPr>
          <w:rFonts w:ascii="Arial" w:cs="Arial" w:eastAsia="Arial" w:hAnsi="Arial"/>
          <w:color w:val="2D3748"/>
          <w:sz w:val="21"/>
          <w:szCs w:val="21"/>
        </w:rPr>
        <w:t xml:space="preserve">Aye votes include a content_reviewed boolean flag. The activation threshold requires not just sufficient conviction-weighted stake, but a minimum number of unique aye voters who have attested to reviewing the creative (default: 5 unique reviewers). This separates the financial signal from the quality signal.</w:t>
      </w:r>
    </w:p>
    <w:p>
      <w:pPr>
        <w:pStyle w:val="ListParagraph"/>
        <w:numPr>
          <w:ilvl w:val="0"/>
          <w:numId w:val="5"/>
        </w:numPr>
        <w:spacing w:after="80"/>
      </w:pPr>
      <w:r>
        <w:rPr>
          <w:rFonts w:ascii="Arial" w:cs="Arial" w:eastAsia="Arial" w:hAnsi="Arial"/>
          <w:b/>
          <w:bCs/>
          <w:color w:val="2D3748"/>
          <w:sz w:val="21"/>
          <w:szCs w:val="21"/>
        </w:rPr>
        <w:t xml:space="preserve">Automated Pre-Screening (Optional): </w:t>
      </w:r>
      <w:r>
        <w:rPr>
          <w:rFonts w:ascii="Arial" w:cs="Arial" w:eastAsia="Arial" w:hAnsi="Arial"/>
          <w:color w:val="2D3748"/>
          <w:sz w:val="21"/>
          <w:szCs w:val="21"/>
        </w:rPr>
        <w:t xml:space="preserve">Before entering the aye vote queue, creatives pass through automated checks: hash comparison against a known-bad creative blocklist, basic image classification for policy violations (nudity, violence, deceptive UI patterns), and text analysis for prohibited claims (e.g., unsubstantiated health claims). Flagged creatives require additional reviewer attestations (default: 10) to activate.</w:t>
      </w:r>
    </w:p>
    <w:p>
      <w:pPr>
        <w:pStyle w:val="ListParagraph"/>
        <w:numPr>
          <w:ilvl w:val="0"/>
          <w:numId w:val="5"/>
        </w:numPr>
        <w:spacing w:after="80"/>
      </w:pPr>
      <w:r>
        <w:rPr>
          <w:rFonts w:ascii="Arial" w:cs="Arial" w:eastAsia="Arial" w:hAnsi="Arial"/>
          <w:b/>
          <w:bCs/>
          <w:color w:val="2D3748"/>
          <w:sz w:val="21"/>
          <w:szCs w:val="21"/>
        </w:rPr>
        <w:t xml:space="preserve">Activation Threshold: </w:t>
      </w:r>
      <w:r>
        <w:rPr>
          <w:rFonts w:ascii="Arial" w:cs="Arial" w:eastAsia="Arial" w:hAnsi="Arial"/>
          <w:color w:val="2D3748"/>
          <w:sz w:val="21"/>
          <w:szCs w:val="21"/>
        </w:rPr>
        <w:t xml:space="preserve">When conviction-weighted aye stake exceeds the threshold AND minimum reviewer count is met, the campaign transitions from Pending to Active.</w:t>
      </w:r>
    </w:p>
    <w:p>
      <w:pPr>
        <w:spacing w:after="60"/>
      </w:pPr>
    </w:p>
    <w:p>
      <w:pPr>
        <w:pStyle w:val="Heading2"/>
        <w:spacing w:before="300" w:after="150"/>
      </w:pPr>
      <w:r>
        <w:rPr>
          <w:rFonts w:ascii="Arial" w:cs="Arial" w:eastAsia="Arial" w:hAnsi="Arial"/>
          <w:b/>
          <w:bCs/>
          <w:color w:val="2B6CB0"/>
          <w:sz w:val="26"/>
          <w:szCs w:val="26"/>
        </w:rPr>
        <w:t xml:space="preserve">7.2 Ongoing Nay Challenges</w:t>
      </w:r>
    </w:p>
    <w:p>
      <w:pPr>
        <w:spacing w:after="120"/>
        <w:jc w:val="left"/>
      </w:pPr>
      <w:r>
        <w:rPr>
          <w:rFonts w:ascii="Arial" w:cs="Arial" w:eastAsia="Arial" w:hAnsi="Arial"/>
          <w:color w:val="2D3748"/>
          <w:sz w:val="21"/>
          <w:szCs w:val="21"/>
        </w:rPr>
        <w:t xml:space="preserve">While a campaign is active, anyone can challenge it by staking DOT as a nay vote.</w:t>
      </w:r>
    </w:p>
    <w:p>
      <w:pPr>
        <w:spacing w:after="40"/>
      </w:pPr>
    </w:p>
    <w:p>
      <w:pPr>
        <w:pStyle w:val="ListParagraph"/>
        <w:numPr>
          <w:ilvl w:val="0"/>
          <w:numId w:val="2"/>
        </w:numPr>
        <w:spacing w:after="60"/>
      </w:pPr>
      <w:r>
        <w:rPr>
          <w:rFonts w:ascii="Arial" w:cs="Arial" w:eastAsia="Arial" w:hAnsi="Arial"/>
          <w:b/>
          <w:bCs/>
          <w:color w:val="2D3748"/>
          <w:sz w:val="21"/>
          <w:szCs w:val="21"/>
        </w:rPr>
        <w:t xml:space="preserve">Nay Stake Locking: </w:t>
      </w:r>
      <w:r>
        <w:rPr>
          <w:rFonts w:ascii="Arial" w:cs="Arial" w:eastAsia="Arial" w:hAnsi="Arial"/>
          <w:color w:val="2D3748"/>
          <w:sz w:val="21"/>
          <w:szCs w:val="21"/>
        </w:rPr>
        <w:t xml:space="preserve">Nay votes are locked immediately upon casting and remain locked until the campaign ends (normally or via termination).</w:t>
      </w:r>
    </w:p>
    <w:p>
      <w:pPr>
        <w:pStyle w:val="ListParagraph"/>
        <w:numPr>
          <w:ilvl w:val="0"/>
          <w:numId w:val="2"/>
        </w:numPr>
        <w:spacing w:after="60"/>
      </w:pPr>
      <w:r>
        <w:rPr>
          <w:rFonts w:ascii="Arial" w:cs="Arial" w:eastAsia="Arial" w:hAnsi="Arial"/>
          <w:b/>
          <w:bCs/>
          <w:color w:val="2D3748"/>
          <w:sz w:val="21"/>
          <w:szCs w:val="21"/>
        </w:rPr>
        <w:t xml:space="preserve">Conviction Weighting: </w:t>
      </w:r>
      <w:r>
        <w:rPr>
          <w:rFonts w:ascii="Arial" w:cs="Arial" w:eastAsia="Arial" w:hAnsi="Arial"/>
          <w:color w:val="2D3748"/>
          <w:sz w:val="21"/>
          <w:szCs w:val="21"/>
        </w:rPr>
        <w:t xml:space="preserve">Identical to Polkadot OpenGov’s conviction model. Multipliers of 1x through 6x amplify voting power but extend lockup duration.</w:t>
      </w:r>
    </w:p>
    <w:p>
      <w:pPr>
        <w:pStyle w:val="ListParagraph"/>
        <w:numPr>
          <w:ilvl w:val="0"/>
          <w:numId w:val="2"/>
        </w:numPr>
        <w:spacing w:after="60"/>
      </w:pPr>
      <w:r>
        <w:rPr>
          <w:rFonts w:ascii="Arial" w:cs="Arial" w:eastAsia="Arial" w:hAnsi="Arial"/>
          <w:b/>
          <w:bCs/>
          <w:color w:val="2D3748"/>
          <w:sz w:val="21"/>
          <w:szCs w:val="21"/>
        </w:rPr>
        <w:t xml:space="preserve">Termination Threshold: </w:t>
      </w:r>
      <w:r>
        <w:rPr>
          <w:rFonts w:ascii="Arial" w:cs="Arial" w:eastAsia="Arial" w:hAnsi="Arial"/>
          <w:color w:val="2D3748"/>
          <w:sz w:val="21"/>
          <w:szCs w:val="21"/>
        </w:rPr>
        <w:t xml:space="preserve">If total conviction-weighted nay stake exceeds the termination threshold, the campaign is terminated.</w:t>
      </w:r>
    </w:p>
    <w:p>
      <w:pPr>
        <w:spacing w:after="60"/>
      </w:pPr>
    </w:p>
    <w:p>
      <w:pPr>
        <w:pStyle w:val="Heading2"/>
        <w:spacing w:before="300" w:after="150"/>
      </w:pPr>
      <w:r>
        <w:rPr>
          <w:rFonts w:ascii="Arial" w:cs="Arial" w:eastAsia="Arial" w:hAnsi="Arial"/>
          <w:b/>
          <w:bCs/>
          <w:color w:val="2B6CB0"/>
          <w:sz w:val="26"/>
          <w:szCs w:val="26"/>
        </w:rPr>
        <w:t xml:space="preserve">7.3 Outcome: Campaign Terminated</w:t>
      </w:r>
    </w:p>
    <w:p>
      <w:pPr>
        <w:spacing w:after="120"/>
        <w:jc w:val="left"/>
      </w:pPr>
      <w:r>
        <w:rPr>
          <w:rFonts w:ascii="Arial" w:cs="Arial" w:eastAsia="Arial" w:hAnsi="Arial"/>
          <w:color w:val="2D3748"/>
          <w:sz w:val="21"/>
          <w:szCs w:val="21"/>
        </w:rPr>
        <w:t xml:space="preserve">When the nay threshold is reached:</w:t>
      </w:r>
    </w:p>
    <w:p>
      <w:pPr>
        <w:spacing w:after="40"/>
      </w:pPr>
    </w:p>
    <w:p>
      <w:pPr>
        <w:pStyle w:val="ListParagraph"/>
        <w:numPr>
          <w:ilvl w:val="0"/>
          <w:numId w:val="6"/>
        </w:numPr>
        <w:spacing w:after="80"/>
      </w:pPr>
      <w:r>
        <w:rPr>
          <w:rFonts w:ascii="Arial" w:cs="Arial" w:eastAsia="Arial" w:hAnsi="Arial"/>
          <w:b/>
          <w:bCs/>
          <w:color w:val="2D3748"/>
          <w:sz w:val="21"/>
          <w:szCs w:val="21"/>
        </w:rPr>
        <w:t xml:space="preserve">Campaign Halted: </w:t>
      </w:r>
      <w:r>
        <w:rPr>
          <w:rFonts w:ascii="Arial" w:cs="Arial" w:eastAsia="Arial" w:hAnsi="Arial"/>
          <w:color w:val="2D3748"/>
          <w:sz w:val="21"/>
          <w:szCs w:val="21"/>
        </w:rPr>
        <w:t xml:space="preserve">No further impressions are served.</w:t>
      </w:r>
    </w:p>
    <w:p>
      <w:pPr>
        <w:pStyle w:val="ListParagraph"/>
        <w:numPr>
          <w:ilvl w:val="0"/>
          <w:numId w:val="6"/>
        </w:numPr>
        <w:spacing w:after="80"/>
      </w:pPr>
      <w:r>
        <w:rPr>
          <w:rFonts w:ascii="Arial" w:cs="Arial" w:eastAsia="Arial" w:hAnsi="Arial"/>
          <w:b/>
          <w:bCs/>
          <w:color w:val="2D3748"/>
          <w:sz w:val="21"/>
          <w:szCs w:val="21"/>
        </w:rPr>
        <w:t xml:space="preserve">Penalty Applied: </w:t>
      </w:r>
      <w:r>
        <w:rPr>
          <w:rFonts w:ascii="Arial" w:cs="Arial" w:eastAsia="Arial" w:hAnsi="Arial"/>
          <w:color w:val="2D3748"/>
          <w:sz w:val="21"/>
          <w:szCs w:val="21"/>
        </w:rPr>
        <w:t xml:space="preserve">A moderate percentage (configurable, default 15–25%) of the remaining campaign budget is slashed from escrow.</w:t>
      </w:r>
    </w:p>
    <w:p>
      <w:pPr>
        <w:pStyle w:val="ListParagraph"/>
        <w:numPr>
          <w:ilvl w:val="0"/>
          <w:numId w:val="6"/>
        </w:numPr>
        <w:spacing w:after="80"/>
      </w:pPr>
      <w:r>
        <w:rPr>
          <w:rFonts w:ascii="Arial" w:cs="Arial" w:eastAsia="Arial" w:hAnsi="Arial"/>
          <w:b/>
          <w:bCs/>
          <w:color w:val="2D3748"/>
          <w:sz w:val="21"/>
          <w:szCs w:val="21"/>
        </w:rPr>
        <w:t xml:space="preserve">Slashed Funds Distributed: </w:t>
      </w:r>
      <w:r>
        <w:rPr>
          <w:rFonts w:ascii="Arial" w:cs="Arial" w:eastAsia="Arial" w:hAnsi="Arial"/>
          <w:color w:val="2D3748"/>
          <w:sz w:val="21"/>
          <w:szCs w:val="21"/>
        </w:rPr>
        <w:t xml:space="preserve">The slashed amount is distributed proportionally to nay voters based on their conviction-weighted stake.</w:t>
      </w:r>
    </w:p>
    <w:p>
      <w:pPr>
        <w:pStyle w:val="ListParagraph"/>
        <w:numPr>
          <w:ilvl w:val="0"/>
          <w:numId w:val="6"/>
        </w:numPr>
        <w:spacing w:after="80"/>
      </w:pPr>
      <w:r>
        <w:rPr>
          <w:rFonts w:ascii="Arial" w:cs="Arial" w:eastAsia="Arial" w:hAnsi="Arial"/>
          <w:b/>
          <w:bCs/>
          <w:color w:val="2D3748"/>
          <w:sz w:val="21"/>
          <w:szCs w:val="21"/>
        </w:rPr>
        <w:t xml:space="preserve">Remainder Returned: </w:t>
      </w:r>
      <w:r>
        <w:rPr>
          <w:rFonts w:ascii="Arial" w:cs="Arial" w:eastAsia="Arial" w:hAnsi="Arial"/>
          <w:color w:val="2D3748"/>
          <w:sz w:val="21"/>
          <w:szCs w:val="21"/>
        </w:rPr>
        <w:t xml:space="preserve">The unslashed remaining budget is returned to the advertiser.</w:t>
      </w:r>
    </w:p>
    <w:p>
      <w:pPr>
        <w:pStyle w:val="ListParagraph"/>
        <w:numPr>
          <w:ilvl w:val="0"/>
          <w:numId w:val="6"/>
        </w:numPr>
        <w:spacing w:after="80"/>
      </w:pPr>
      <w:r>
        <w:rPr>
          <w:rFonts w:ascii="Arial" w:cs="Arial" w:eastAsia="Arial" w:hAnsi="Arial"/>
          <w:b/>
          <w:bCs/>
          <w:color w:val="2D3748"/>
          <w:sz w:val="21"/>
          <w:szCs w:val="21"/>
        </w:rPr>
        <w:t xml:space="preserve">Nay Tokens Unlocked: </w:t>
      </w:r>
      <w:r>
        <w:rPr>
          <w:rFonts w:ascii="Arial" w:cs="Arial" w:eastAsia="Arial" w:hAnsi="Arial"/>
          <w:color w:val="2D3748"/>
          <w:sz w:val="21"/>
          <w:szCs w:val="21"/>
        </w:rPr>
        <w:t xml:space="preserve">Nay voters’ staked DOT is unlocked (subject to their chosen conviction lockup period).</w:t>
      </w:r>
    </w:p>
    <w:p>
      <w:pPr>
        <w:spacing w:after="60"/>
      </w:pPr>
    </w:p>
    <w:p>
      <w:pPr>
        <w:pStyle w:val="Heading2"/>
        <w:spacing w:before="300" w:after="150"/>
      </w:pPr>
      <w:r>
        <w:rPr>
          <w:rFonts w:ascii="Arial" w:cs="Arial" w:eastAsia="Arial" w:hAnsi="Arial"/>
          <w:b/>
          <w:bCs/>
          <w:color w:val="2B6CB0"/>
          <w:sz w:val="26"/>
          <w:szCs w:val="26"/>
        </w:rPr>
        <w:t xml:space="preserve">7.4 Outcome: Campaign Completes Normally</w:t>
      </w:r>
    </w:p>
    <w:p>
      <w:pPr>
        <w:pStyle w:val="ListParagraph"/>
        <w:numPr>
          <w:ilvl w:val="0"/>
          <w:numId w:val="7"/>
        </w:numPr>
        <w:spacing w:after="80"/>
      </w:pPr>
      <w:r>
        <w:rPr>
          <w:rFonts w:ascii="Arial" w:cs="Arial" w:eastAsia="Arial" w:hAnsi="Arial"/>
          <w:b/>
          <w:bCs/>
          <w:color w:val="2D3748"/>
          <w:sz w:val="21"/>
          <w:szCs w:val="21"/>
        </w:rPr>
        <w:t xml:space="preserve">Aye Voter Rewards: </w:t>
      </w:r>
      <w:r>
        <w:rPr>
          <w:rFonts w:ascii="Arial" w:cs="Arial" w:eastAsia="Arial" w:hAnsi="Arial"/>
          <w:color w:val="2D3748"/>
          <w:sz w:val="21"/>
          <w:szCs w:val="21"/>
        </w:rPr>
        <w:t xml:space="preserve">Aye voters receive a proportional share of the campaign’s aye reward pool, distributed by conviction-weighted stake.</w:t>
      </w:r>
    </w:p>
    <w:p>
      <w:pPr>
        <w:pStyle w:val="ListParagraph"/>
        <w:numPr>
          <w:ilvl w:val="0"/>
          <w:numId w:val="7"/>
        </w:numPr>
        <w:spacing w:after="80"/>
      </w:pPr>
      <w:r>
        <w:rPr>
          <w:rFonts w:ascii="Arial" w:cs="Arial" w:eastAsia="Arial" w:hAnsi="Arial"/>
          <w:b/>
          <w:bCs/>
          <w:color w:val="2D3748"/>
          <w:sz w:val="21"/>
          <w:szCs w:val="21"/>
        </w:rPr>
        <w:t xml:space="preserve">Nay Tokens Unlocked with Graduated Penalty: </w:t>
      </w:r>
      <w:r>
        <w:rPr>
          <w:rFonts w:ascii="Arial" w:cs="Arial" w:eastAsia="Arial" w:hAnsi="Arial"/>
          <w:color w:val="2D3748"/>
          <w:sz w:val="21"/>
          <w:szCs w:val="21"/>
        </w:rPr>
        <w:t xml:space="preserve">Nay voters’ DOT is unlocked, but with an additional lockup extension based on their recent history of failed termination attempts. First failed nay: base lockup. Second (within lookback window): 2x. Third: 4x.</w:t>
      </w:r>
    </w:p>
    <w:p>
      <w:pPr>
        <w:pStyle w:val="ListParagraph"/>
        <w:numPr>
          <w:ilvl w:val="0"/>
          <w:numId w:val="7"/>
        </w:numPr>
        <w:spacing w:after="80"/>
      </w:pPr>
      <w:r>
        <w:rPr>
          <w:rFonts w:ascii="Arial" w:cs="Arial" w:eastAsia="Arial" w:hAnsi="Arial"/>
          <w:b/>
          <w:bCs/>
          <w:color w:val="2D3748"/>
          <w:sz w:val="21"/>
          <w:szCs w:val="21"/>
        </w:rPr>
        <w:t xml:space="preserve">Leftover Budget: </w:t>
      </w:r>
      <w:r>
        <w:rPr>
          <w:rFonts w:ascii="Arial" w:cs="Arial" w:eastAsia="Arial" w:hAnsi="Arial"/>
          <w:color w:val="2D3748"/>
          <w:sz w:val="21"/>
          <w:szCs w:val="21"/>
        </w:rPr>
        <w:t xml:space="preserve">Any unspent campaign budget is returned to the advertiser.</w:t>
      </w:r>
    </w:p>
    <w:p>
      <w:pPr>
        <w:spacing w:after="60"/>
      </w:pPr>
    </w:p>
    <w:p>
      <w:pPr>
        <w:pStyle w:val="Heading2"/>
        <w:spacing w:before="300" w:after="150"/>
      </w:pPr>
      <w:r>
        <w:rPr>
          <w:rFonts w:ascii="Arial" w:cs="Arial" w:eastAsia="Arial" w:hAnsi="Arial"/>
          <w:b/>
          <w:bCs/>
          <w:color w:val="2B6CB0"/>
          <w:sz w:val="26"/>
          <w:szCs w:val="26"/>
        </w:rPr>
        <w:t xml:space="preserve">7.5 Incentive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Actor</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Incentive</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Risk</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Aye Voters</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Earn reward pool share from campaigns that complete successfully; review duty is compensated</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Opportunity cost of locked DOT; no penalty if campaign is terminated</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Nay Voters</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Earn slashed funds if campaign is terminated; protect network quality</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DOT locked until campaign ends; graduated lockup for repeat failed challenges</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Advertisers</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Access to privacy-respecting, verified audience with viewability guarantees</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Moderate budget penalty if voted out; aye reward pool cost; content must pass review</w:t>
            </w:r>
          </w:p>
        </w:tc>
      </w:tr>
    </w:tbl>
    <w:p>
      <w:pPr>
        <w:spacing w:after="40"/>
      </w:pPr>
    </w:p>
    <w:p>
      <w:pPr>
        <w:spacing w:before="200" w:after="100"/>
      </w:pPr>
      <w:r>
        <w:rPr>
          <w:rFonts w:ascii="Arial" w:cs="Arial" w:eastAsia="Arial" w:hAnsi="Arial"/>
          <w:b/>
          <w:bCs/>
          <w:color w:val="1A365D"/>
          <w:sz w:val="22"/>
          <w:szCs w:val="22"/>
        </w:rPr>
        <w:t xml:space="preserve">7.5.1 Sybil Resistance</w:t>
      </w:r>
    </w:p>
    <w:p>
      <w:pPr>
        <w:pStyle w:val="ListParagraph"/>
        <w:numPr>
          <w:ilvl w:val="0"/>
          <w:numId w:val="2"/>
        </w:numPr>
        <w:spacing w:after="60"/>
      </w:pPr>
      <w:r>
        <w:rPr>
          <w:rFonts w:ascii="Arial" w:cs="Arial" w:eastAsia="Arial" w:hAnsi="Arial"/>
          <w:b/>
          <w:bCs/>
          <w:color w:val="2D3748"/>
          <w:sz w:val="21"/>
          <w:szCs w:val="21"/>
        </w:rPr>
        <w:t xml:space="preserve">Self-Aye Attack: </w:t>
      </w:r>
      <w:r>
        <w:rPr>
          <w:rFonts w:ascii="Arial" w:cs="Arial" w:eastAsia="Arial" w:hAnsi="Arial"/>
          <w:color w:val="2D3748"/>
          <w:sz w:val="21"/>
          <w:szCs w:val="21"/>
        </w:rPr>
        <w:t xml:space="preserve">An advertiser can aye-vote with multiple wallets, but the minimum unique reviewer requirement means they need at least 5 distinct accounts that each attest to reviewing the creative. Combined with conviction lockup costs, this is expensive to sustain.</w:t>
      </w:r>
    </w:p>
    <w:p>
      <w:pPr>
        <w:pStyle w:val="ListParagraph"/>
        <w:numPr>
          <w:ilvl w:val="0"/>
          <w:numId w:val="2"/>
        </w:numPr>
        <w:spacing w:after="60"/>
      </w:pPr>
      <w:r>
        <w:rPr>
          <w:rFonts w:ascii="Arial" w:cs="Arial" w:eastAsia="Arial" w:hAnsi="Arial"/>
          <w:b/>
          <w:bCs/>
          <w:color w:val="2D3748"/>
          <w:sz w:val="21"/>
          <w:szCs w:val="21"/>
        </w:rPr>
        <w:t xml:space="preserve">Griefing via Nay: </w:t>
      </w:r>
      <w:r>
        <w:rPr>
          <w:rFonts w:ascii="Arial" w:cs="Arial" w:eastAsia="Arial" w:hAnsi="Arial"/>
          <w:color w:val="2D3748"/>
          <w:sz w:val="21"/>
          <w:szCs w:val="21"/>
        </w:rPr>
        <w:t xml:space="preserve">A competitor’s DOT is locked until the campaign ends, and repeat failed challenges face graduated lockup penalties.</w:t>
      </w:r>
    </w:p>
    <w:p>
      <w:pPr>
        <w:pStyle w:val="ListParagraph"/>
        <w:numPr>
          <w:ilvl w:val="0"/>
          <w:numId w:val="2"/>
        </w:numPr>
        <w:spacing w:after="60"/>
      </w:pPr>
      <w:r>
        <w:rPr>
          <w:rFonts w:ascii="Arial" w:cs="Arial" w:eastAsia="Arial" w:hAnsi="Arial"/>
          <w:b/>
          <w:bCs/>
          <w:color w:val="2D3748"/>
          <w:sz w:val="21"/>
          <w:szCs w:val="21"/>
        </w:rPr>
        <w:t xml:space="preserve">Rubber-Stamp Reviews: </w:t>
      </w:r>
      <w:r>
        <w:rPr>
          <w:rFonts w:ascii="Arial" w:cs="Arial" w:eastAsia="Arial" w:hAnsi="Arial"/>
          <w:color w:val="2D3748"/>
          <w:sz w:val="21"/>
          <w:szCs w:val="21"/>
        </w:rPr>
        <w:t xml:space="preserve">To mitigate aye voters rubber-stamping creative reviews for rewards, a random audit mechanism can retrospectively check whether reviewed creatives violated policy. Reviewers who approved policy-violating creatives face reputation penalties.</w:t>
      </w:r>
    </w:p>
    <w:p>
      <w:r>
        <w:br w:type="page"/>
      </w:r>
    </w:p>
    <w:p>
      <w:pPr>
        <w:pStyle w:val="Heading1"/>
        <w:spacing w:before="400" w:after="200"/>
      </w:pPr>
      <w:r>
        <w:rPr>
          <w:rFonts w:ascii="Arial" w:cs="Arial" w:eastAsia="Arial" w:hAnsi="Arial"/>
          <w:b/>
          <w:bCs/>
          <w:color w:val="1A365D"/>
          <w:sz w:val="32"/>
          <w:szCs w:val="32"/>
        </w:rPr>
        <w:t xml:space="preserve">8. Technology Stack &amp; Key Dependencies</w:t>
      </w:r>
    </w:p>
    <w:p>
      <w:pPr>
        <w:spacing w:after="60"/>
      </w:pPr>
    </w:p>
    <w:p>
      <w:pPr>
        <w:pStyle w:val="Heading2"/>
        <w:spacing w:before="300" w:after="150"/>
      </w:pPr>
      <w:r>
        <w:rPr>
          <w:rFonts w:ascii="Arial" w:cs="Arial" w:eastAsia="Arial" w:hAnsi="Arial"/>
          <w:b/>
          <w:bCs/>
          <w:color w:val="2B6CB0"/>
          <w:sz w:val="26"/>
          <w:szCs w:val="26"/>
        </w:rPr>
        <w:t xml:space="preserve">8.1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Runtime</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Substrate (Rust) → JAM Service</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On-chain logic, settlement, governance</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Smart Contracts</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ink! (optional, for extensibility)</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Plugin contracts for custom ad logic</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Browser Extension</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TypeScript, WebAssembly, Manifest V3</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Client-side privacy boundary</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On-Device ML</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TensorFlow.js or ONNX Runtime Web</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Interest classification</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ZK Proofs (Future)</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Arkworks (Rust → WASM)</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Privacy-preserving match verification</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Storage</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IPFS + Crust Network + optional CDN</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Decentralized creative hosting with fast delivery</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DEX</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HydraDX/Hydration via XCM</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Stablecoin ↔ DOT swaps with retry queue</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Cross-Chain</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XCM (Cross-Consensus Messaging)</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Asset transfers, DEX routing, fee handling</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Publisher SDK</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JavaScript / TypeScript</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Ad slot integration, co-signing</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KYB Attestation</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KILT Protocol (primary) + pluggable providers</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Business identity verification</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Proof-of-Personhood</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Encointer / Gitcoin Passport (future)</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Sybil-resistant user verification</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Viewability</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Intersection Observer API, Page Visibility API</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MRC-standard attention verification</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Analytics</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On-chain aggregation + differential privacy</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Privacy-preserving advertiser reporting</w:t>
            </w:r>
          </w:p>
        </w:tc>
      </w:tr>
    </w:tbl>
    <w:p>
      <w:pPr>
        <w:spacing w:after="60"/>
      </w:pPr>
    </w:p>
    <w:p>
      <w:pPr>
        <w:pStyle w:val="Heading2"/>
        <w:spacing w:before="300" w:after="150"/>
      </w:pPr>
      <w:r>
        <w:rPr>
          <w:rFonts w:ascii="Arial" w:cs="Arial" w:eastAsia="Arial" w:hAnsi="Arial"/>
          <w:b/>
          <w:bCs/>
          <w:color w:val="2B6CB0"/>
          <w:sz w:val="26"/>
          <w:szCs w:val="26"/>
        </w:rPr>
        <w:t xml:space="preserve">8.2 Key Libraries &amp; Frameworks to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32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What It Teaches You</w:t>
            </w:r>
          </w:p>
        </w:tc>
        <w:tc>
          <w:tcPr>
            <w:tcW w:type="dxa" w:w="32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Substrate Developer Hub</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Pallet development, runtime construction, extrinsics, storage</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Critical — start here</w:t>
            </w:r>
          </w:p>
        </w:tc>
      </w:tr>
      <w:tr>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JAM Grey Paper</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JAM service model, refine/accumulate, work packages</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High — future migration</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Polkadot.js / Subxt</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Chain interaction from JS and Rust</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Critical — extension needs this</w:t>
            </w:r>
          </w:p>
        </w:tc>
      </w:tr>
      <w:tr>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XCM Documentation</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Cross-chain transfers, message format, routing, error handling</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High — DEX + stablecoin handling</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Arkworks / Circom</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ZK circuit design, proof generation, verification</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Medium — post-MVP but design now</w:t>
            </w:r>
          </w:p>
        </w:tc>
      </w:tr>
      <w:tr>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TensorFlow.js Docs</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In-browser ML inference, Web Worker usage</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High — core extension feature</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Crust Network Docs</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IPFS pinning, decentralized storage, Polkadot integration</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Medium — creative storage</w:t>
            </w:r>
          </w:p>
        </w:tc>
      </w:tr>
      <w:tr>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Brave Browser Ad System</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On-device matching, user compensation, extension-based ads</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High — closest existing system</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Polkadot OpenGov Docs</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Conviction voting, track system, deposit/slashing</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High — governance model basis</w:t>
            </w:r>
          </w:p>
        </w:tc>
      </w:tr>
      <w:tr>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KILT Protocol SDK</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Verifiable credentials, DIDs, attestation workflows</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High — KYB attestation layer</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Intersection Observer API</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Viewport tracking, element visibility, scroll-based triggers</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High — viewability module</w:t>
            </w:r>
          </w:p>
        </w:tc>
      </w:tr>
      <w:tr>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MRC Viewability Standards</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Industry-standard viewability definitions, measurement guidelines</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High — advertiser trust</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Differential Privacy</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Laplace mechanism, epsilon calibration, aggregate reporting</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High — analytics engine</w:t>
            </w:r>
          </w:p>
        </w:tc>
      </w:tr>
      <w:tr>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IAB Ad Standards</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Ad sizes, VAST spec, Content Taxonomy, bot detection guidelines</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High — ad format + fraud prevention</w:t>
            </w:r>
          </w:p>
        </w:tc>
      </w:tr>
      <w:tr>
        <w:tc>
          <w:tcPr>
            <w:tcW w:type="dxa" w:w="2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Encointer / Gitcoin Passport</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Proof-of-personhood ceremonies, sybil resistance</w:t>
            </w:r>
          </w:p>
        </w:tc>
        <w:tc>
          <w:tcPr>
            <w:tcW w:type="dxa" w:w="32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Medium — future PoP integration</w:t>
            </w:r>
          </w:p>
        </w:tc>
      </w:tr>
      <w:tr>
        <w:tc>
          <w:tcPr>
            <w:tcW w:type="dxa" w:w="28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W3C Verifiable Credentials</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VC data model, BBS+ selective disclosure</w:t>
            </w:r>
          </w:p>
        </w:tc>
        <w:tc>
          <w:tcPr>
            <w:tcW w:type="dxa" w:w="32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Medium — credential standards</w:t>
            </w:r>
          </w:p>
        </w:tc>
      </w:tr>
    </w:tbl>
    <w:p>
      <w:r>
        <w:br w:type="page"/>
      </w:r>
    </w:p>
    <w:p>
      <w:pPr>
        <w:pStyle w:val="Heading1"/>
        <w:spacing w:before="400" w:after="200"/>
      </w:pPr>
      <w:r>
        <w:rPr>
          <w:rFonts w:ascii="Arial" w:cs="Arial" w:eastAsia="Arial" w:hAnsi="Arial"/>
          <w:b/>
          <w:bCs/>
          <w:color w:val="1A365D"/>
          <w:sz w:val="32"/>
          <w:szCs w:val="32"/>
        </w:rPr>
        <w:t xml:space="preserve">9. MVP Build Plan</w:t>
      </w:r>
    </w:p>
    <w:p>
      <w:pPr>
        <w:spacing w:after="120"/>
        <w:jc w:val="left"/>
      </w:pPr>
      <w:r>
        <w:rPr>
          <w:rFonts w:ascii="Arial" w:cs="Arial" w:eastAsia="Arial" w:hAnsi="Arial"/>
          <w:color w:val="2D3748"/>
          <w:sz w:val="21"/>
          <w:szCs w:val="21"/>
        </w:rPr>
        <w:t xml:space="preserve">The MVP is a browser extension and Substrate parachain that demonstrates the core value proposition: private ad matching with verified attention, local auction pricing, on-chain settlement, and community governance. All non-essential complexity is deferred.</w:t>
      </w:r>
    </w:p>
    <w:p>
      <w:pPr>
        <w:spacing w:after="60"/>
      </w:pPr>
    </w:p>
    <w:p>
      <w:pPr>
        <w:pStyle w:val="Heading2"/>
        <w:spacing w:before="300" w:after="150"/>
      </w:pPr>
      <w:r>
        <w:rPr>
          <w:rFonts w:ascii="Arial" w:cs="Arial" w:eastAsia="Arial" w:hAnsi="Arial"/>
          <w:b/>
          <w:bCs/>
          <w:color w:val="2B6CB0"/>
          <w:sz w:val="26"/>
          <w:szCs w:val="26"/>
        </w:rPr>
        <w:t xml:space="preserve">9.1 Phase 1: Foundation (Weeks 1–4)</w:t>
      </w:r>
    </w:p>
    <w:p>
      <w:pPr>
        <w:spacing w:after="120"/>
        <w:jc w:val="left"/>
      </w:pPr>
      <w:r>
        <w:rPr>
          <w:rFonts w:ascii="Arial" w:cs="Arial" w:eastAsia="Arial" w:hAnsi="Arial"/>
          <w:b/>
          <w:bCs/>
          <w:color w:val="2D3748"/>
          <w:sz w:val="21"/>
          <w:szCs w:val="21"/>
        </w:rPr>
        <w:t xml:space="preserve">Goal: </w:t>
      </w:r>
      <w:r>
        <w:rPr>
          <w:rFonts w:ascii="Arial" w:cs="Arial" w:eastAsia="Arial" w:hAnsi="Arial"/>
          <w:color w:val="2D3748"/>
          <w:sz w:val="21"/>
          <w:szCs w:val="21"/>
        </w:rPr>
        <w:t xml:space="preserve">Functioning Substrate chain with campaign management and a browser extension that classifies interests locally.</w:t>
      </w:r>
    </w:p>
    <w:p>
      <w:pPr>
        <w:spacing w:after="40"/>
      </w:pPr>
    </w:p>
    <w:p>
      <w:pPr>
        <w:spacing w:before="200" w:after="100"/>
      </w:pPr>
      <w:r>
        <w:rPr>
          <w:rFonts w:ascii="Arial" w:cs="Arial" w:eastAsia="Arial" w:hAnsi="Arial"/>
          <w:b/>
          <w:bCs/>
          <w:color w:val="1A365D"/>
          <w:sz w:val="22"/>
          <w:szCs w:val="22"/>
        </w:rPr>
        <w:t xml:space="preserve">Deliverables</w:t>
      </w:r>
    </w:p>
    <w:p>
      <w:pPr>
        <w:pStyle w:val="ListParagraph"/>
        <w:numPr>
          <w:ilvl w:val="0"/>
          <w:numId w:val="2"/>
        </w:numPr>
        <w:spacing w:after="60"/>
      </w:pPr>
      <w:r>
        <w:rPr>
          <w:rFonts w:ascii="Arial" w:cs="Arial" w:eastAsia="Arial" w:hAnsi="Arial"/>
          <w:b/>
          <w:bCs/>
          <w:color w:val="2D3748"/>
          <w:sz w:val="21"/>
          <w:szCs w:val="21"/>
        </w:rPr>
        <w:t xml:space="preserve">Substrate node: </w:t>
      </w:r>
      <w:r>
        <w:rPr>
          <w:rFonts w:ascii="Arial" w:cs="Arial" w:eastAsia="Arial" w:hAnsi="Arial"/>
          <w:color w:val="2D3748"/>
          <w:sz w:val="21"/>
          <w:szCs w:val="21"/>
        </w:rPr>
        <w:t xml:space="preserve">Custom pallets for campaigns (create, fund, activate, complete), escrow (deposit, withdraw, nonce/hash-chain tracking), taxonomy (fixed initial set of ~200 categories), and identity (KYB attestation storage, user registration with signed accounts and nonce initialization).</w:t>
      </w:r>
    </w:p>
    <w:p>
      <w:pPr>
        <w:pStyle w:val="ListParagraph"/>
        <w:numPr>
          <w:ilvl w:val="0"/>
          <w:numId w:val="2"/>
        </w:numPr>
        <w:spacing w:after="60"/>
      </w:pPr>
      <w:r>
        <w:rPr>
          <w:rFonts w:ascii="Arial" w:cs="Arial" w:eastAsia="Arial" w:hAnsi="Arial"/>
          <w:b/>
          <w:bCs/>
          <w:color w:val="2D3748"/>
          <w:sz w:val="21"/>
          <w:szCs w:val="21"/>
        </w:rPr>
        <w:t xml:space="preserve">Browser extension (skeleton): </w:t>
      </w:r>
      <w:r>
        <w:rPr>
          <w:rFonts w:ascii="Arial" w:cs="Arial" w:eastAsia="Arial" w:hAnsi="Arial"/>
          <w:color w:val="2D3748"/>
          <w:sz w:val="21"/>
          <w:szCs w:val="21"/>
        </w:rPr>
        <w:t xml:space="preserve">Manifest V3 extension with content script, background service worker with keyword-based classifier, IndexedDB interest profile storage, and monotonic nonce + hash chain implementation for claim generation.</w:t>
      </w:r>
    </w:p>
    <w:p>
      <w:pPr>
        <w:pStyle w:val="ListParagraph"/>
        <w:numPr>
          <w:ilvl w:val="0"/>
          <w:numId w:val="2"/>
        </w:numPr>
        <w:spacing w:after="60"/>
      </w:pPr>
      <w:r>
        <w:rPr>
          <w:rFonts w:ascii="Arial" w:cs="Arial" w:eastAsia="Arial" w:hAnsi="Arial"/>
          <w:b/>
          <w:bCs/>
          <w:color w:val="2D3748"/>
          <w:sz w:val="21"/>
          <w:szCs w:val="21"/>
        </w:rPr>
        <w:t xml:space="preserve">Extension integrity: </w:t>
      </w:r>
      <w:r>
        <w:rPr>
          <w:rFonts w:ascii="Arial" w:cs="Arial" w:eastAsia="Arial" w:hAnsi="Arial"/>
          <w:color w:val="2D3748"/>
          <w:sz w:val="21"/>
          <w:szCs w:val="21"/>
        </w:rPr>
        <w:t xml:space="preserve">Set up reproducible build pipeline. Publish first extension version hash on-chain.</w:t>
      </w:r>
    </w:p>
    <w:p>
      <w:pPr>
        <w:pStyle w:val="ListParagraph"/>
        <w:numPr>
          <w:ilvl w:val="0"/>
          <w:numId w:val="2"/>
        </w:numPr>
        <w:spacing w:after="60"/>
      </w:pPr>
      <w:r>
        <w:rPr>
          <w:rFonts w:ascii="Arial" w:cs="Arial" w:eastAsia="Arial" w:hAnsi="Arial"/>
          <w:b/>
          <w:bCs/>
          <w:color w:val="2D3748"/>
          <w:sz w:val="21"/>
          <w:szCs w:val="21"/>
        </w:rPr>
        <w:t xml:space="preserve">Local development testnet: </w:t>
      </w:r>
      <w:r>
        <w:rPr>
          <w:rFonts w:ascii="Arial" w:cs="Arial" w:eastAsia="Arial" w:hAnsi="Arial"/>
          <w:color w:val="2D3748"/>
          <w:sz w:val="21"/>
          <w:szCs w:val="21"/>
        </w:rPr>
        <w:t xml:space="preserve">Multi-node Substrate testnet for development.</w:t>
      </w:r>
    </w:p>
    <w:p>
      <w:pPr>
        <w:spacing w:after="60"/>
      </w:pPr>
    </w:p>
    <w:p>
      <w:pPr>
        <w:pStyle w:val="Heading2"/>
        <w:spacing w:before="300" w:after="150"/>
      </w:pPr>
      <w:r>
        <w:rPr>
          <w:rFonts w:ascii="Arial" w:cs="Arial" w:eastAsia="Arial" w:hAnsi="Arial"/>
          <w:b/>
          <w:bCs/>
          <w:color w:val="2B6CB0"/>
          <w:sz w:val="26"/>
          <w:szCs w:val="26"/>
        </w:rPr>
        <w:t xml:space="preserve">9.2 Phase 2: Ad Matching, Auction &amp; Serving (Weeks 5–8)</w:t>
      </w:r>
    </w:p>
    <w:p>
      <w:pPr>
        <w:spacing w:after="120"/>
        <w:jc w:val="left"/>
      </w:pPr>
      <w:r>
        <w:rPr>
          <w:rFonts w:ascii="Arial" w:cs="Arial" w:eastAsia="Arial" w:hAnsi="Arial"/>
          <w:b/>
          <w:bCs/>
          <w:color w:val="2D3748"/>
          <w:sz w:val="21"/>
          <w:szCs w:val="21"/>
        </w:rPr>
        <w:t xml:space="preserve">Goal: </w:t>
      </w:r>
      <w:r>
        <w:rPr>
          <w:rFonts w:ascii="Arial" w:cs="Arial" w:eastAsia="Arial" w:hAnsi="Arial"/>
          <w:color w:val="2D3748"/>
          <w:sz w:val="21"/>
          <w:szCs w:val="21"/>
        </w:rPr>
        <w:t xml:space="preserve">End-to-end ad flow from campaign creation through local auction to user seeing an ad.</w:t>
      </w:r>
    </w:p>
    <w:p>
      <w:pPr>
        <w:spacing w:after="40"/>
      </w:pPr>
    </w:p>
    <w:p>
      <w:pPr>
        <w:spacing w:before="200" w:after="100"/>
      </w:pPr>
      <w:r>
        <w:rPr>
          <w:rFonts w:ascii="Arial" w:cs="Arial" w:eastAsia="Arial" w:hAnsi="Arial"/>
          <w:b/>
          <w:bCs/>
          <w:color w:val="1A365D"/>
          <w:sz w:val="22"/>
          <w:szCs w:val="22"/>
        </w:rPr>
        <w:t xml:space="preserve">Deliverables</w:t>
      </w:r>
    </w:p>
    <w:p>
      <w:pPr>
        <w:pStyle w:val="ListParagraph"/>
        <w:numPr>
          <w:ilvl w:val="0"/>
          <w:numId w:val="2"/>
        </w:numPr>
        <w:spacing w:after="60"/>
      </w:pPr>
      <w:r>
        <w:rPr>
          <w:rFonts w:ascii="Arial" w:cs="Arial" w:eastAsia="Arial" w:hAnsi="Arial"/>
          <w:b/>
          <w:bCs/>
          <w:color w:val="2D3748"/>
          <w:sz w:val="21"/>
          <w:szCs w:val="21"/>
        </w:rPr>
        <w:t xml:space="preserve">Campaign targeting + bid CPM: </w:t>
      </w:r>
      <w:r>
        <w:rPr>
          <w:rFonts w:ascii="Arial" w:cs="Arial" w:eastAsia="Arial" w:hAnsi="Arial"/>
          <w:color w:val="2D3748"/>
          <w:sz w:val="21"/>
          <w:szCs w:val="21"/>
        </w:rPr>
        <w:t xml:space="preserve">Advertisers define targeting criteria as boolean expressions over taxonomy categories and set a bid CPM.</w:t>
      </w:r>
    </w:p>
    <w:p>
      <w:pPr>
        <w:pStyle w:val="ListParagraph"/>
        <w:numPr>
          <w:ilvl w:val="0"/>
          <w:numId w:val="2"/>
        </w:numPr>
        <w:spacing w:after="60"/>
      </w:pPr>
      <w:r>
        <w:rPr>
          <w:rFonts w:ascii="Arial" w:cs="Arial" w:eastAsia="Arial" w:hAnsi="Arial"/>
          <w:b/>
          <w:bCs/>
          <w:color w:val="2D3748"/>
          <w:sz w:val="21"/>
          <w:szCs w:val="21"/>
        </w:rPr>
        <w:t xml:space="preserve">Local auction engine: </w:t>
      </w:r>
      <w:r>
        <w:rPr>
          <w:rFonts w:ascii="Arial" w:cs="Arial" w:eastAsia="Arial" w:hAnsi="Arial"/>
          <w:color w:val="2D3748"/>
          <w:sz w:val="21"/>
          <w:szCs w:val="21"/>
        </w:rPr>
        <w:t xml:space="preserve">Extension implements second-price auction among matching campaigns. Clearing price recorded in impression claims.</w:t>
      </w:r>
    </w:p>
    <w:p>
      <w:pPr>
        <w:pStyle w:val="ListParagraph"/>
        <w:numPr>
          <w:ilvl w:val="0"/>
          <w:numId w:val="2"/>
        </w:numPr>
        <w:spacing w:after="60"/>
      </w:pPr>
      <w:r>
        <w:rPr>
          <w:rFonts w:ascii="Arial" w:cs="Arial" w:eastAsia="Arial" w:hAnsi="Arial"/>
          <w:b/>
          <w:bCs/>
          <w:color w:val="2D3748"/>
          <w:sz w:val="21"/>
          <w:szCs w:val="21"/>
        </w:rPr>
        <w:t xml:space="preserve">Viewability monitor: </w:t>
      </w:r>
      <w:r>
        <w:rPr>
          <w:rFonts w:ascii="Arial" w:cs="Arial" w:eastAsia="Arial" w:hAnsi="Arial"/>
          <w:color w:val="2D3748"/>
          <w:sz w:val="21"/>
          <w:szCs w:val="21"/>
        </w:rPr>
        <w:t xml:space="preserve">Intersection Observer + Page Visibility integration. MRC-compliant viewability attestation generation. Only viewable impressions create claims.</w:t>
      </w:r>
    </w:p>
    <w:p>
      <w:pPr>
        <w:pStyle w:val="ListParagraph"/>
        <w:numPr>
          <w:ilvl w:val="0"/>
          <w:numId w:val="2"/>
        </w:numPr>
        <w:spacing w:after="60"/>
      </w:pPr>
      <w:r>
        <w:rPr>
          <w:rFonts w:ascii="Arial" w:cs="Arial" w:eastAsia="Arial" w:hAnsi="Arial"/>
          <w:b/>
          <w:bCs/>
          <w:color w:val="2D3748"/>
          <w:sz w:val="21"/>
          <w:szCs w:val="21"/>
        </w:rPr>
        <w:t xml:space="preserve">Creative storage + pre-fetch: </w:t>
      </w:r>
      <w:r>
        <w:rPr>
          <w:rFonts w:ascii="Arial" w:cs="Arial" w:eastAsia="Arial" w:hAnsi="Arial"/>
          <w:color w:val="2D3748"/>
          <w:sz w:val="21"/>
          <w:szCs w:val="21"/>
        </w:rPr>
        <w:t xml:space="preserve">Campaign creation pins creatives to IPFS. Extension implements background sync to pre-fetch and cache creatives. CDN fallback with hash verification.</w:t>
      </w:r>
    </w:p>
    <w:p>
      <w:pPr>
        <w:pStyle w:val="ListParagraph"/>
        <w:numPr>
          <w:ilvl w:val="0"/>
          <w:numId w:val="2"/>
        </w:numPr>
        <w:spacing w:after="60"/>
      </w:pPr>
      <w:r>
        <w:rPr>
          <w:rFonts w:ascii="Arial" w:cs="Arial" w:eastAsia="Arial" w:hAnsi="Arial"/>
          <w:b/>
          <w:bCs/>
          <w:color w:val="2D3748"/>
          <w:sz w:val="21"/>
          <w:szCs w:val="21"/>
        </w:rPr>
        <w:t xml:space="preserve">Basic rendering: </w:t>
      </w:r>
      <w:r>
        <w:rPr>
          <w:rFonts w:ascii="Arial" w:cs="Arial" w:eastAsia="Arial" w:hAnsi="Arial"/>
          <w:color w:val="2D3748"/>
          <w:sz w:val="21"/>
          <w:szCs w:val="21"/>
        </w:rPr>
        <w:t xml:space="preserve">Extension injects matched ads. Display images only for this phase.</w:t>
      </w:r>
    </w:p>
    <w:p>
      <w:pPr>
        <w:pStyle w:val="ListParagraph"/>
        <w:numPr>
          <w:ilvl w:val="0"/>
          <w:numId w:val="2"/>
        </w:numPr>
        <w:spacing w:after="60"/>
      </w:pPr>
      <w:r>
        <w:rPr>
          <w:rFonts w:ascii="Arial" w:cs="Arial" w:eastAsia="Arial" w:hAnsi="Arial"/>
          <w:b/>
          <w:bCs/>
          <w:color w:val="2D3748"/>
          <w:sz w:val="21"/>
          <w:szCs w:val="21"/>
        </w:rPr>
        <w:t xml:space="preserve">Publisher SDK v0: </w:t>
      </w:r>
      <w:r>
        <w:rPr>
          <w:rFonts w:ascii="Arial" w:cs="Arial" w:eastAsia="Arial" w:hAnsi="Arial"/>
          <w:color w:val="2D3748"/>
          <w:sz w:val="21"/>
          <w:szCs w:val="21"/>
        </w:rPr>
        <w:t xml:space="preserve">Minimal JavaScript snippet with ad slot registration, extension handshake, and impression co-signing.</w:t>
      </w:r>
    </w:p>
    <w:p>
      <w:pPr>
        <w:spacing w:after="60"/>
      </w:pPr>
    </w:p>
    <w:p>
      <w:pPr>
        <w:pStyle w:val="Heading2"/>
        <w:spacing w:before="300" w:after="150"/>
      </w:pPr>
      <w:r>
        <w:rPr>
          <w:rFonts w:ascii="Arial" w:cs="Arial" w:eastAsia="Arial" w:hAnsi="Arial"/>
          <w:b/>
          <w:bCs/>
          <w:color w:val="2B6CB0"/>
          <w:sz w:val="26"/>
          <w:szCs w:val="26"/>
        </w:rPr>
        <w:t xml:space="preserve">9.3 Phase 3: Settlement, Payments &amp; Analytics (Weeks 9–12)</w:t>
      </w:r>
    </w:p>
    <w:p>
      <w:pPr>
        <w:spacing w:after="120"/>
        <w:jc w:val="left"/>
      </w:pPr>
      <w:r>
        <w:rPr>
          <w:rFonts w:ascii="Arial" w:cs="Arial" w:eastAsia="Arial" w:hAnsi="Arial"/>
          <w:b/>
          <w:bCs/>
          <w:color w:val="2D3748"/>
          <w:sz w:val="21"/>
          <w:szCs w:val="21"/>
        </w:rPr>
        <w:t xml:space="preserve">Goal: </w:t>
      </w:r>
      <w:r>
        <w:rPr>
          <w:rFonts w:ascii="Arial" w:cs="Arial" w:eastAsia="Arial" w:hAnsi="Arial"/>
          <w:color w:val="2D3748"/>
          <w:sz w:val="21"/>
          <w:szCs w:val="21"/>
        </w:rPr>
        <w:t xml:space="preserve">On-chain settlement with replay protection, multi-asset payouts, and advertiser reporting.</w:t>
      </w:r>
    </w:p>
    <w:p>
      <w:pPr>
        <w:spacing w:after="40"/>
      </w:pPr>
    </w:p>
    <w:p>
      <w:pPr>
        <w:spacing w:before="200" w:after="100"/>
      </w:pPr>
      <w:r>
        <w:rPr>
          <w:rFonts w:ascii="Arial" w:cs="Arial" w:eastAsia="Arial" w:hAnsi="Arial"/>
          <w:b/>
          <w:bCs/>
          <w:color w:val="1A365D"/>
          <w:sz w:val="22"/>
          <w:szCs w:val="22"/>
        </w:rPr>
        <w:t xml:space="preserve">Deliverables</w:t>
      </w:r>
    </w:p>
    <w:p>
      <w:pPr>
        <w:pStyle w:val="ListParagraph"/>
        <w:numPr>
          <w:ilvl w:val="0"/>
          <w:numId w:val="2"/>
        </w:numPr>
        <w:spacing w:after="60"/>
      </w:pPr>
      <w:r>
        <w:rPr>
          <w:rFonts w:ascii="Arial" w:cs="Arial" w:eastAsia="Arial" w:hAnsi="Arial"/>
          <w:b/>
          <w:bCs/>
          <w:color w:val="2D3748"/>
          <w:sz w:val="21"/>
          <w:szCs w:val="21"/>
        </w:rPr>
        <w:t xml:space="preserve">Impression claims with replay protection: </w:t>
      </w:r>
      <w:r>
        <w:rPr>
          <w:rFonts w:ascii="Arial" w:cs="Arial" w:eastAsia="Arial" w:hAnsi="Arial"/>
          <w:color w:val="2D3748"/>
          <w:sz w:val="21"/>
          <w:szCs w:val="21"/>
        </w:rPr>
        <w:t xml:space="preserve">Extension generates claims with monotonic nonces, hash chain, and viewability attestations. Chain verifies nonce sequence, hash chain integrity, and viewability.</w:t>
      </w:r>
    </w:p>
    <w:p>
      <w:pPr>
        <w:pStyle w:val="ListParagraph"/>
        <w:numPr>
          <w:ilvl w:val="0"/>
          <w:numId w:val="2"/>
        </w:numPr>
        <w:spacing w:after="60"/>
      </w:pPr>
      <w:r>
        <w:rPr>
          <w:rFonts w:ascii="Arial" w:cs="Arial" w:eastAsia="Arial" w:hAnsi="Arial"/>
          <w:b/>
          <w:bCs/>
          <w:color w:val="2D3748"/>
          <w:sz w:val="21"/>
          <w:szCs w:val="21"/>
        </w:rPr>
        <w:t xml:space="preserve">Escrow settlement: </w:t>
      </w:r>
      <w:r>
        <w:rPr>
          <w:rFonts w:ascii="Arial" w:cs="Arial" w:eastAsia="Arial" w:hAnsi="Arial"/>
          <w:color w:val="2D3748"/>
          <w:sz w:val="21"/>
          <w:szCs w:val="21"/>
        </w:rPr>
        <w:t xml:space="preserve">pallet-escrow verifies claims, deducts clearing CPM from campaign budget, distributes to publisher (quality-scaled) and user accounts.</w:t>
      </w:r>
    </w:p>
    <w:p>
      <w:pPr>
        <w:pStyle w:val="ListParagraph"/>
        <w:numPr>
          <w:ilvl w:val="0"/>
          <w:numId w:val="2"/>
        </w:numPr>
        <w:spacing w:after="60"/>
      </w:pPr>
      <w:r>
        <w:rPr>
          <w:rFonts w:ascii="Arial" w:cs="Arial" w:eastAsia="Arial" w:hAnsi="Arial"/>
          <w:b/>
          <w:bCs/>
          <w:color w:val="2D3748"/>
          <w:sz w:val="21"/>
          <w:szCs w:val="21"/>
        </w:rPr>
        <w:t xml:space="preserve">Multi-asset support: </w:t>
      </w:r>
      <w:r>
        <w:rPr>
          <w:rFonts w:ascii="Arial" w:cs="Arial" w:eastAsia="Arial" w:hAnsi="Arial"/>
          <w:color w:val="2D3748"/>
          <w:sz w:val="21"/>
          <w:szCs w:val="21"/>
        </w:rPr>
        <w:t xml:space="preserve">Integration with Asset Hub for stablecoin handling via XCM.</w:t>
      </w:r>
    </w:p>
    <w:p>
      <w:pPr>
        <w:pStyle w:val="ListParagraph"/>
        <w:numPr>
          <w:ilvl w:val="0"/>
          <w:numId w:val="2"/>
        </w:numPr>
        <w:spacing w:after="60"/>
      </w:pPr>
      <w:r>
        <w:rPr>
          <w:rFonts w:ascii="Arial" w:cs="Arial" w:eastAsia="Arial" w:hAnsi="Arial"/>
          <w:b/>
          <w:bCs/>
          <w:color w:val="2D3748"/>
          <w:sz w:val="21"/>
          <w:szCs w:val="21"/>
        </w:rPr>
        <w:t xml:space="preserve">DEX integration with resilience: </w:t>
      </w:r>
      <w:r>
        <w:rPr>
          <w:rFonts w:ascii="Arial" w:cs="Arial" w:eastAsia="Arial" w:hAnsi="Arial"/>
          <w:color w:val="2D3748"/>
          <w:sz w:val="21"/>
          <w:szCs w:val="21"/>
        </w:rPr>
        <w:t xml:space="preserve">XCM routing to HydraDX with retry queue and stablecoin fallback for failed swaps.</w:t>
      </w:r>
    </w:p>
    <w:p>
      <w:pPr>
        <w:pStyle w:val="ListParagraph"/>
        <w:numPr>
          <w:ilvl w:val="0"/>
          <w:numId w:val="2"/>
        </w:numPr>
        <w:spacing w:after="60"/>
      </w:pPr>
      <w:r>
        <w:rPr>
          <w:rFonts w:ascii="Arial" w:cs="Arial" w:eastAsia="Arial" w:hAnsi="Arial"/>
          <w:b/>
          <w:bCs/>
          <w:color w:val="2D3748"/>
          <w:sz w:val="21"/>
          <w:szCs w:val="21"/>
        </w:rPr>
        <w:t xml:space="preserve">Analytics engine v0: </w:t>
      </w:r>
      <w:r>
        <w:rPr>
          <w:rFonts w:ascii="Arial" w:cs="Arial" w:eastAsia="Arial" w:hAnsi="Arial"/>
          <w:color w:val="2D3748"/>
          <w:sz w:val="21"/>
          <w:szCs w:val="21"/>
        </w:rPr>
        <w:t xml:space="preserve">pallet-analytics with aggregate campaign metrics (impressions, spend, clearing CPM, viewability rate). Differential privacy noise on taxonomy breakdowns. Advertiser RPC access.</w:t>
      </w:r>
    </w:p>
    <w:p>
      <w:pPr>
        <w:pStyle w:val="ListParagraph"/>
        <w:numPr>
          <w:ilvl w:val="0"/>
          <w:numId w:val="2"/>
        </w:numPr>
        <w:spacing w:after="60"/>
      </w:pPr>
      <w:r>
        <w:rPr>
          <w:rFonts w:ascii="Arial" w:cs="Arial" w:eastAsia="Arial" w:hAnsi="Arial"/>
          <w:b/>
          <w:bCs/>
          <w:color w:val="2D3748"/>
          <w:sz w:val="21"/>
          <w:szCs w:val="21"/>
        </w:rPr>
        <w:t xml:space="preserve">Earnings dashboard: </w:t>
      </w:r>
      <w:r>
        <w:rPr>
          <w:rFonts w:ascii="Arial" w:cs="Arial" w:eastAsia="Arial" w:hAnsi="Arial"/>
          <w:color w:val="2D3748"/>
          <w:sz w:val="21"/>
          <w:szCs w:val="21"/>
        </w:rPr>
        <w:t xml:space="preserve">Extension popup shows accumulated earnings, pending claims, viewability rates, and payout history.</w:t>
      </w:r>
    </w:p>
    <w:p>
      <w:pPr>
        <w:spacing w:after="60"/>
      </w:pPr>
    </w:p>
    <w:p>
      <w:pPr>
        <w:pStyle w:val="Heading2"/>
        <w:spacing w:before="300" w:after="150"/>
      </w:pPr>
      <w:r>
        <w:rPr>
          <w:rFonts w:ascii="Arial" w:cs="Arial" w:eastAsia="Arial" w:hAnsi="Arial"/>
          <w:b/>
          <w:bCs/>
          <w:color w:val="2B6CB0"/>
          <w:sz w:val="26"/>
          <w:szCs w:val="26"/>
        </w:rPr>
        <w:t xml:space="preserve">9.4 Phase 4: Governance &amp; Polish (Weeks 13–16)</w:t>
      </w:r>
    </w:p>
    <w:p>
      <w:pPr>
        <w:spacing w:after="120"/>
        <w:jc w:val="left"/>
      </w:pPr>
      <w:r>
        <w:rPr>
          <w:rFonts w:ascii="Arial" w:cs="Arial" w:eastAsia="Arial" w:hAnsi="Arial"/>
          <w:b/>
          <w:bCs/>
          <w:color w:val="2D3748"/>
          <w:sz w:val="21"/>
          <w:szCs w:val="21"/>
        </w:rPr>
        <w:t xml:space="preserve">Goal: </w:t>
      </w:r>
      <w:r>
        <w:rPr>
          <w:rFonts w:ascii="Arial" w:cs="Arial" w:eastAsia="Arial" w:hAnsi="Arial"/>
          <w:color w:val="2D3748"/>
          <w:sz w:val="21"/>
          <w:szCs w:val="21"/>
        </w:rPr>
        <w:t xml:space="preserve">Full campaign governance with content review, publisher quality scoring, and production-quality extension.</w:t>
      </w:r>
    </w:p>
    <w:p>
      <w:pPr>
        <w:spacing w:after="40"/>
      </w:pPr>
    </w:p>
    <w:p>
      <w:pPr>
        <w:spacing w:before="200" w:after="100"/>
      </w:pPr>
      <w:r>
        <w:rPr>
          <w:rFonts w:ascii="Arial" w:cs="Arial" w:eastAsia="Arial" w:hAnsi="Arial"/>
          <w:b/>
          <w:bCs/>
          <w:color w:val="1A365D"/>
          <w:sz w:val="22"/>
          <w:szCs w:val="22"/>
        </w:rPr>
        <w:t xml:space="preserve">Deliverables</w:t>
      </w:r>
    </w:p>
    <w:p>
      <w:pPr>
        <w:pStyle w:val="ListParagraph"/>
        <w:numPr>
          <w:ilvl w:val="0"/>
          <w:numId w:val="2"/>
        </w:numPr>
        <w:spacing w:after="60"/>
      </w:pPr>
      <w:r>
        <w:rPr>
          <w:rFonts w:ascii="Arial" w:cs="Arial" w:eastAsia="Arial" w:hAnsi="Arial"/>
          <w:b/>
          <w:bCs/>
          <w:color w:val="2D3748"/>
          <w:sz w:val="21"/>
          <w:szCs w:val="21"/>
        </w:rPr>
        <w:t xml:space="preserve">Conviction voting with content review: </w:t>
      </w:r>
      <w:r>
        <w:rPr>
          <w:rFonts w:ascii="Arial" w:cs="Arial" w:eastAsia="Arial" w:hAnsi="Arial"/>
          <w:color w:val="2D3748"/>
          <w:sz w:val="21"/>
          <w:szCs w:val="21"/>
        </w:rPr>
        <w:t xml:space="preserve">pallet-governance with aye/nay voting, conviction multipliers, activation/termination thresholds. Creative preview in governance UI. Minimum reviewer attestation requirement.</w:t>
      </w:r>
    </w:p>
    <w:p>
      <w:pPr>
        <w:pStyle w:val="ListParagraph"/>
        <w:numPr>
          <w:ilvl w:val="0"/>
          <w:numId w:val="2"/>
        </w:numPr>
        <w:spacing w:after="60"/>
      </w:pPr>
      <w:r>
        <w:rPr>
          <w:rFonts w:ascii="Arial" w:cs="Arial" w:eastAsia="Arial" w:hAnsi="Arial"/>
          <w:b/>
          <w:bCs/>
          <w:color w:val="2D3748"/>
          <w:sz w:val="21"/>
          <w:szCs w:val="21"/>
        </w:rPr>
        <w:t xml:space="preserve">Graduated nay lockup: </w:t>
      </w:r>
      <w:r>
        <w:rPr>
          <w:rFonts w:ascii="Arial" w:cs="Arial" w:eastAsia="Arial" w:hAnsi="Arial"/>
          <w:color w:val="2D3748"/>
          <w:sz w:val="21"/>
          <w:szCs w:val="21"/>
        </w:rPr>
        <w:t xml:space="preserve">Per-account nay vote history tracking and graduated lockup calculation.</w:t>
      </w:r>
    </w:p>
    <w:p>
      <w:pPr>
        <w:pStyle w:val="ListParagraph"/>
        <w:numPr>
          <w:ilvl w:val="0"/>
          <w:numId w:val="2"/>
        </w:numPr>
        <w:spacing w:after="60"/>
      </w:pPr>
      <w:r>
        <w:rPr>
          <w:rFonts w:ascii="Arial" w:cs="Arial" w:eastAsia="Arial" w:hAnsi="Arial"/>
          <w:b/>
          <w:bCs/>
          <w:color w:val="2D3748"/>
          <w:sz w:val="21"/>
          <w:szCs w:val="21"/>
        </w:rPr>
        <w:t xml:space="preserve">Publisher quality scoring: </w:t>
      </w:r>
      <w:r>
        <w:rPr>
          <w:rFonts w:ascii="Arial" w:cs="Arial" w:eastAsia="Arial" w:hAnsi="Arial"/>
          <w:color w:val="2D3748"/>
          <w:sz w:val="21"/>
          <w:szCs w:val="21"/>
        </w:rPr>
        <w:t xml:space="preserve">On-chain quality score computation from impression metrics. Revenue scaling by quality score. Publisher challenge mechanism.</w:t>
      </w:r>
    </w:p>
    <w:p>
      <w:pPr>
        <w:pStyle w:val="ListParagraph"/>
        <w:numPr>
          <w:ilvl w:val="0"/>
          <w:numId w:val="2"/>
        </w:numPr>
        <w:spacing w:after="60"/>
      </w:pPr>
      <w:r>
        <w:rPr>
          <w:rFonts w:ascii="Arial" w:cs="Arial" w:eastAsia="Arial" w:hAnsi="Arial"/>
          <w:b/>
          <w:bCs/>
          <w:color w:val="2D3748"/>
          <w:sz w:val="21"/>
          <w:szCs w:val="21"/>
        </w:rPr>
        <w:t xml:space="preserve">All ad formats: </w:t>
      </w:r>
      <w:r>
        <w:rPr>
          <w:rFonts w:ascii="Arial" w:cs="Arial" w:eastAsia="Arial" w:hAnsi="Arial"/>
          <w:color w:val="2D3748"/>
          <w:sz w:val="21"/>
          <w:szCs w:val="21"/>
        </w:rPr>
        <w:t xml:space="preserve">Text/native, video (VAST), and interactive (sandboxed HTML5) with format-appropriate viewability thresholds.</w:t>
      </w:r>
    </w:p>
    <w:p>
      <w:pPr>
        <w:pStyle w:val="ListParagraph"/>
        <w:numPr>
          <w:ilvl w:val="0"/>
          <w:numId w:val="2"/>
        </w:numPr>
        <w:spacing w:after="60"/>
      </w:pPr>
      <w:r>
        <w:rPr>
          <w:rFonts w:ascii="Arial" w:cs="Arial" w:eastAsia="Arial" w:hAnsi="Arial"/>
          <w:b/>
          <w:bCs/>
          <w:color w:val="2D3748"/>
          <w:sz w:val="21"/>
          <w:szCs w:val="21"/>
        </w:rPr>
        <w:t xml:space="preserve">ML classifier upgrade: </w:t>
      </w:r>
      <w:r>
        <w:rPr>
          <w:rFonts w:ascii="Arial" w:cs="Arial" w:eastAsia="Arial" w:hAnsi="Arial"/>
          <w:color w:val="2D3748"/>
          <w:sz w:val="21"/>
          <w:szCs w:val="21"/>
        </w:rPr>
        <w:t xml:space="preserve">Replace keyword classifier with TensorFlow.js model.</w:t>
      </w:r>
    </w:p>
    <w:p>
      <w:pPr>
        <w:pStyle w:val="ListParagraph"/>
        <w:numPr>
          <w:ilvl w:val="0"/>
          <w:numId w:val="2"/>
        </w:numPr>
        <w:spacing w:after="60"/>
      </w:pPr>
      <w:r>
        <w:rPr>
          <w:rFonts w:ascii="Arial" w:cs="Arial" w:eastAsia="Arial" w:hAnsi="Arial"/>
          <w:b/>
          <w:bCs/>
          <w:color w:val="2D3748"/>
          <w:sz w:val="21"/>
          <w:szCs w:val="21"/>
        </w:rPr>
        <w:t xml:space="preserve">KYB integration: </w:t>
      </w:r>
      <w:r>
        <w:rPr>
          <w:rFonts w:ascii="Arial" w:cs="Arial" w:eastAsia="Arial" w:hAnsi="Arial"/>
          <w:color w:val="2D3748"/>
          <w:sz w:val="21"/>
          <w:szCs w:val="21"/>
        </w:rPr>
        <w:t xml:space="preserve">Connect pallet-identity to KILT Protocol SDK for live KYB attestation workflow.</w:t>
      </w:r>
    </w:p>
    <w:p>
      <w:pPr>
        <w:pStyle w:val="ListParagraph"/>
        <w:numPr>
          <w:ilvl w:val="0"/>
          <w:numId w:val="2"/>
        </w:numPr>
        <w:spacing w:after="60"/>
      </w:pPr>
      <w:r>
        <w:rPr>
          <w:rFonts w:ascii="Arial" w:cs="Arial" w:eastAsia="Arial" w:hAnsi="Arial"/>
          <w:b/>
          <w:bCs/>
          <w:color w:val="2D3748"/>
          <w:sz w:val="21"/>
          <w:szCs w:val="21"/>
        </w:rPr>
        <w:t xml:space="preserve">User profile controls: </w:t>
      </w:r>
      <w:r>
        <w:rPr>
          <w:rFonts w:ascii="Arial" w:cs="Arial" w:eastAsia="Arial" w:hAnsi="Arial"/>
          <w:color w:val="2D3748"/>
          <w:sz w:val="21"/>
          <w:szCs w:val="21"/>
        </w:rPr>
        <w:t xml:space="preserve">Full UI for viewing, editing, and deleting interest profile data.</w:t>
      </w:r>
    </w:p>
    <w:p>
      <w:pPr>
        <w:spacing w:after="60"/>
      </w:pPr>
    </w:p>
    <w:p>
      <w:pPr>
        <w:pStyle w:val="Heading2"/>
        <w:spacing w:before="300" w:after="150"/>
      </w:pPr>
      <w:r>
        <w:rPr>
          <w:rFonts w:ascii="Arial" w:cs="Arial" w:eastAsia="Arial" w:hAnsi="Arial"/>
          <w:b/>
          <w:bCs/>
          <w:color w:val="2B6CB0"/>
          <w:sz w:val="26"/>
          <w:szCs w:val="26"/>
        </w:rPr>
        <w:t xml:space="preserve">9.5 Post-MVP Roadmap</w:t>
      </w:r>
    </w:p>
    <w:p>
      <w:pPr>
        <w:pStyle w:val="ListParagraph"/>
        <w:numPr>
          <w:ilvl w:val="0"/>
          <w:numId w:val="2"/>
        </w:numPr>
        <w:spacing w:after="60"/>
      </w:pPr>
      <w:r>
        <w:rPr>
          <w:rFonts w:ascii="Arial" w:cs="Arial" w:eastAsia="Arial" w:hAnsi="Arial"/>
          <w:b/>
          <w:bCs/>
          <w:color w:val="2D3748"/>
          <w:sz w:val="21"/>
          <w:szCs w:val="21"/>
        </w:rPr>
        <w:t xml:space="preserve">ZK Proof Integration: </w:t>
      </w:r>
      <w:r>
        <w:rPr>
          <w:rFonts w:ascii="Arial" w:cs="Arial" w:eastAsia="Arial" w:hAnsi="Arial"/>
          <w:color w:val="2D3748"/>
          <w:sz w:val="21"/>
          <w:szCs w:val="21"/>
        </w:rPr>
        <w:t xml:space="preserve">Arkworks-based proof generation in extension, on-chain verification. Upgrades from trust-based to trustless matching.</w:t>
      </w:r>
    </w:p>
    <w:p>
      <w:pPr>
        <w:pStyle w:val="ListParagraph"/>
        <w:numPr>
          <w:ilvl w:val="0"/>
          <w:numId w:val="2"/>
        </w:numPr>
        <w:spacing w:after="60"/>
      </w:pPr>
      <w:r>
        <w:rPr>
          <w:rFonts w:ascii="Arial" w:cs="Arial" w:eastAsia="Arial" w:hAnsi="Arial"/>
          <w:b/>
          <w:bCs/>
          <w:color w:val="2D3748"/>
          <w:sz w:val="21"/>
          <w:szCs w:val="21"/>
        </w:rPr>
        <w:t xml:space="preserve">JAM Migration: </w:t>
      </w:r>
      <w:r>
        <w:rPr>
          <w:rFonts w:ascii="Arial" w:cs="Arial" w:eastAsia="Arial" w:hAnsi="Arial"/>
          <w:color w:val="2D3748"/>
          <w:sz w:val="21"/>
          <w:szCs w:val="21"/>
        </w:rPr>
        <w:t xml:space="preserve">Migrate pallets to JAM services. Map settlement + viewability verification to refine, state updates to accumulate.</w:t>
      </w:r>
    </w:p>
    <w:p>
      <w:pPr>
        <w:pStyle w:val="ListParagraph"/>
        <w:numPr>
          <w:ilvl w:val="0"/>
          <w:numId w:val="2"/>
        </w:numPr>
        <w:spacing w:after="60"/>
      </w:pPr>
      <w:r>
        <w:rPr>
          <w:rFonts w:ascii="Arial" w:cs="Arial" w:eastAsia="Arial" w:hAnsi="Arial"/>
          <w:b/>
          <w:bCs/>
          <w:color w:val="2D3748"/>
          <w:sz w:val="21"/>
          <w:szCs w:val="21"/>
        </w:rPr>
        <w:t xml:space="preserve">Federated Learning: </w:t>
      </w:r>
      <w:r>
        <w:rPr>
          <w:rFonts w:ascii="Arial" w:cs="Arial" w:eastAsia="Arial" w:hAnsi="Arial"/>
          <w:color w:val="2D3748"/>
          <w:sz w:val="21"/>
          <w:szCs w:val="21"/>
        </w:rPr>
        <w:t xml:space="preserve">Privacy-preserving model improvement using on-device training data.</w:t>
      </w:r>
    </w:p>
    <w:p>
      <w:pPr>
        <w:pStyle w:val="ListParagraph"/>
        <w:numPr>
          <w:ilvl w:val="0"/>
          <w:numId w:val="2"/>
        </w:numPr>
        <w:spacing w:after="60"/>
      </w:pPr>
      <w:r>
        <w:rPr>
          <w:rFonts w:ascii="Arial" w:cs="Arial" w:eastAsia="Arial" w:hAnsi="Arial"/>
          <w:b/>
          <w:bCs/>
          <w:color w:val="2D3748"/>
          <w:sz w:val="21"/>
          <w:szCs w:val="21"/>
        </w:rPr>
        <w:t xml:space="preserve">Proof-of-Personhood Integration: </w:t>
      </w:r>
      <w:r>
        <w:rPr>
          <w:rFonts w:ascii="Arial" w:cs="Arial" w:eastAsia="Arial" w:hAnsi="Arial"/>
          <w:color w:val="2D3748"/>
          <w:sz w:val="21"/>
          <w:szCs w:val="21"/>
        </w:rPr>
        <w:t xml:space="preserve">Encointer and/or Gitcoin Passport. Verification tier system with enhanced earning rates.</w:t>
      </w:r>
    </w:p>
    <w:p>
      <w:pPr>
        <w:pStyle w:val="ListParagraph"/>
        <w:numPr>
          <w:ilvl w:val="0"/>
          <w:numId w:val="2"/>
        </w:numPr>
        <w:spacing w:after="60"/>
      </w:pPr>
      <w:r>
        <w:rPr>
          <w:rFonts w:ascii="Arial" w:cs="Arial" w:eastAsia="Arial" w:hAnsi="Arial"/>
          <w:b/>
          <w:bCs/>
          <w:color w:val="2D3748"/>
          <w:sz w:val="21"/>
          <w:szCs w:val="21"/>
        </w:rPr>
        <w:t xml:space="preserve">Advanced Analytics: </w:t>
      </w:r>
      <w:r>
        <w:rPr>
          <w:rFonts w:ascii="Arial" w:cs="Arial" w:eastAsia="Arial" w:hAnsi="Arial"/>
          <w:color w:val="2D3748"/>
          <w:sz w:val="21"/>
          <w:szCs w:val="21"/>
        </w:rPr>
        <w:t xml:space="preserve">Conversion attribution via private set intersection. A/B testing support for creatives. Market-rate benchmarking from auction clearing prices.</w:t>
      </w:r>
    </w:p>
    <w:p>
      <w:pPr>
        <w:pStyle w:val="ListParagraph"/>
        <w:numPr>
          <w:ilvl w:val="0"/>
          <w:numId w:val="2"/>
        </w:numPr>
        <w:spacing w:after="60"/>
      </w:pPr>
      <w:r>
        <w:rPr>
          <w:rFonts w:ascii="Arial" w:cs="Arial" w:eastAsia="Arial" w:hAnsi="Arial"/>
          <w:b/>
          <w:bCs/>
          <w:color w:val="2D3748"/>
          <w:sz w:val="21"/>
          <w:szCs w:val="21"/>
        </w:rPr>
        <w:t xml:space="preserve">Mobile App SDK: </w:t>
      </w:r>
      <w:r>
        <w:rPr>
          <w:rFonts w:ascii="Arial" w:cs="Arial" w:eastAsia="Arial" w:hAnsi="Arial"/>
          <w:color w:val="2D3748"/>
          <w:sz w:val="21"/>
          <w:szCs w:val="21"/>
        </w:rPr>
        <w:t xml:space="preserve">Extend DATUM beyond browser to native mobile apps.</w:t>
      </w:r>
    </w:p>
    <w:p>
      <w:pPr>
        <w:pStyle w:val="ListParagraph"/>
        <w:numPr>
          <w:ilvl w:val="0"/>
          <w:numId w:val="2"/>
        </w:numPr>
        <w:spacing w:after="60"/>
      </w:pPr>
      <w:r>
        <w:rPr>
          <w:rFonts w:ascii="Arial" w:cs="Arial" w:eastAsia="Arial" w:hAnsi="Arial"/>
          <w:b/>
          <w:bCs/>
          <w:color w:val="2D3748"/>
          <w:sz w:val="21"/>
          <w:szCs w:val="21"/>
        </w:rPr>
        <w:t xml:space="preserve">Advertiser Dashboard: </w:t>
      </w:r>
      <w:r>
        <w:rPr>
          <w:rFonts w:ascii="Arial" w:cs="Arial" w:eastAsia="Arial" w:hAnsi="Arial"/>
          <w:color w:val="2D3748"/>
          <w:sz w:val="21"/>
          <w:szCs w:val="21"/>
        </w:rPr>
        <w:t xml:space="preserve">Web application for campaign management, analytics visualization, and budget management.</w:t>
      </w:r>
    </w:p>
    <w:p>
      <w:r>
        <w:br w:type="page"/>
      </w:r>
    </w:p>
    <w:p>
      <w:pPr>
        <w:pStyle w:val="Heading1"/>
        <w:spacing w:before="400" w:after="200"/>
      </w:pPr>
      <w:r>
        <w:rPr>
          <w:rFonts w:ascii="Arial" w:cs="Arial" w:eastAsia="Arial" w:hAnsi="Arial"/>
          <w:b/>
          <w:bCs/>
          <w:color w:val="1A365D"/>
          <w:sz w:val="32"/>
          <w:szCs w:val="32"/>
        </w:rPr>
        <w:t xml:space="preserve">10. Prioritized Learning Path</w:t>
      </w:r>
    </w:p>
    <w:p>
      <w:pPr>
        <w:spacing w:after="120"/>
        <w:jc w:val="left"/>
      </w:pPr>
      <w:r>
        <w:rPr>
          <w:rFonts w:ascii="Arial" w:cs="Arial" w:eastAsia="Arial" w:hAnsi="Arial"/>
          <w:color w:val="2D3748"/>
          <w:sz w:val="21"/>
          <w:szCs w:val="21"/>
        </w:rPr>
        <w:t xml:space="preserve">This section maps exactly what you need to learn, in what order, to build each phase of the MVP.</w:t>
      </w:r>
    </w:p>
    <w:p>
      <w:pPr>
        <w:spacing w:after="60"/>
      </w:pPr>
    </w:p>
    <w:p>
      <w:pPr>
        <w:pStyle w:val="Heading2"/>
        <w:spacing w:before="300" w:after="150"/>
      </w:pPr>
      <w:r>
        <w:rPr>
          <w:rFonts w:ascii="Arial" w:cs="Arial" w:eastAsia="Arial" w:hAnsi="Arial"/>
          <w:b/>
          <w:bCs/>
          <w:color w:val="2B6CB0"/>
          <w:sz w:val="26"/>
          <w:szCs w:val="26"/>
        </w:rPr>
        <w:t xml:space="preserve">10.1 Immediate (Before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Resources</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Enables</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Substrate Pallet Development</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Substrate Developer Hub tutorials, substrate-node-template, Substrate Kitties tutorial</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All on-chain components</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Rust for Substrate</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The Rust Book, Substrate-specific patterns: traits, generics, macros</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Runtime development</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Browser Extension Development</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Chrome Extensions Manifest V3 docs, MDN WebExtensions guide</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Extension architecture</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Polkadot.js API</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polkadot.js.org documentation, Subxt for Rust-side tooling</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Extension ↔ chain communication</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KILT Protocol &amp; DIDs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KILT SDK documentation, W3C DID specification</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KYB attestation framework</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Cryptographic Hash Chains</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Hash chain construction, Merkle trees, nonce-based replay protection patterns</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Impression claim integrity</w:t>
            </w:r>
          </w:p>
        </w:tc>
      </w:tr>
    </w:tbl>
    <w:p>
      <w:pPr>
        <w:spacing w:after="60"/>
      </w:pPr>
    </w:p>
    <w:p>
      <w:pPr>
        <w:pStyle w:val="Heading2"/>
        <w:spacing w:before="300" w:after="150"/>
      </w:pPr>
      <w:r>
        <w:rPr>
          <w:rFonts w:ascii="Arial" w:cs="Arial" w:eastAsia="Arial" w:hAnsi="Arial"/>
          <w:b/>
          <w:bCs/>
          <w:color w:val="2B6CB0"/>
          <w:sz w:val="26"/>
          <w:szCs w:val="26"/>
        </w:rPr>
        <w:t xml:space="preserve">10.2 Phase 2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Resources</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Enables</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IPFS/Crust Integration</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IPFS docs, Crust Network wiki, js-ipfs, Cache API for browser storage</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Creative storage, pre-fetch, CDN fallback</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Intersection Observer API</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MDN Intersection Observer docs, Page Visibility API, MRC viewability guidelines</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Viewability monitor</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Auction Theory &amp; GSP</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Generalized second-price auction papers, Google ad auction design docs, Vickrey auction mechanics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Local auction engine</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IAB Ad Standards</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IAB standard ad sizes, VAST spec for video, IAB Content Taxonomy</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Ad format definitions and taxonomy</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Content Classification NLP</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TF.js text classification, Universal Sentence Encoder for JS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Interest classifier model</w:t>
            </w:r>
          </w:p>
        </w:tc>
      </w:tr>
    </w:tbl>
    <w:p>
      <w:pPr>
        <w:spacing w:after="60"/>
      </w:pPr>
    </w:p>
    <w:p>
      <w:pPr>
        <w:pStyle w:val="Heading2"/>
        <w:spacing w:before="300" w:after="150"/>
      </w:pPr>
      <w:r>
        <w:rPr>
          <w:rFonts w:ascii="Arial" w:cs="Arial" w:eastAsia="Arial" w:hAnsi="Arial"/>
          <w:b/>
          <w:bCs/>
          <w:color w:val="2B6CB0"/>
          <w:sz w:val="26"/>
          <w:szCs w:val="26"/>
        </w:rPr>
        <w:t xml:space="preserve">10.3 Phase 3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Resources</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Enables</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XCM (Cross-Consensus Messaging)</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Polkadot XCM docs, xcm-format repo, XCM error handling, dry-run queries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Multi-chain transfers with resilience</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Polkadot Asset Hub</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Asset Hub documentation, stablecoin handling on Polkadot</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Stablecoin escrow</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HydraDX/Hydration</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Hydration docs, Omnipool mechanics, XCM swap routing, liquidity queries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DEX integration with retry/fallback</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Differential Privacy</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Laplace mechanism, epsilon calibration, Google RAPPOR, Apple differential privacy</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Analytics engine privacy guarantees</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Cryptographic Commitments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Pedersen commitments, hash commitment schemes, Merkle tree basics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Impression claim commitments (pre-ZK)</w:t>
            </w:r>
          </w:p>
        </w:tc>
      </w:tr>
    </w:tbl>
    <w:p>
      <w:pPr>
        <w:spacing w:after="60"/>
      </w:pPr>
    </w:p>
    <w:p>
      <w:pPr>
        <w:pStyle w:val="Heading2"/>
        <w:spacing w:before="300" w:after="150"/>
      </w:pPr>
      <w:r>
        <w:rPr>
          <w:rFonts w:ascii="Arial" w:cs="Arial" w:eastAsia="Arial" w:hAnsi="Arial"/>
          <w:b/>
          <w:bCs/>
          <w:color w:val="2B6CB0"/>
          <w:sz w:val="26"/>
          <w:szCs w:val="26"/>
        </w:rPr>
        <w:t xml:space="preserve">10.4 Phase 4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Resources</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Enables</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Conviction Voting Mechanics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Polkadot OpenGov documentation, 1Hive Conviction Voting paper, Substrate democracy pallet source</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Campaign governance + content review</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TensorFlow.js Deployment</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TF.js model conversion, quantization, pruning, Web Worker integration</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Production-quality classifier</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Ad Fraud Prevention</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IAB Bot detection, impression verification standards, dual-signature patterns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Claim verification + publisher quality</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Content Moderation Systems</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Automated content screening, image classification for policy violations, blocklist management</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Creative review automation</w:t>
            </w:r>
          </w:p>
        </w:tc>
      </w:tr>
    </w:tbl>
    <w:p>
      <w:pPr>
        <w:spacing w:after="60"/>
      </w:pPr>
    </w:p>
    <w:p>
      <w:pPr>
        <w:pStyle w:val="Heading2"/>
        <w:spacing w:before="300" w:after="150"/>
      </w:pPr>
      <w:r>
        <w:rPr>
          <w:rFonts w:ascii="Arial" w:cs="Arial" w:eastAsia="Arial" w:hAnsi="Arial"/>
          <w:b/>
          <w:bCs/>
          <w:color w:val="2B6CB0"/>
          <w:sz w:val="26"/>
          <w:szCs w:val="26"/>
        </w:rPr>
        <w:t xml:space="preserve">10.5 Post-MVP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Resources</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Enables</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ZK-SNARKs / PLONK</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Vitalik’s zk-SNARK series, Arkworks docs, Circom/snarkjs, ZK Whiteboard Sessions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Trustless match verification</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JAM Service Development</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JAM Grey Paper, JAM implementer resources, refine/accumulate model</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JAM migration</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Federated Learning</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McMahan et al. 2017, Flower framework, Google FL blog posts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Privacy-preserving model improvement</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Proof-of-Personhood Systems</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Encointer docs, Gitcoin Passport SDK, Worldcoin protocol spec</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Sybil-resistant user verification</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Private Set Intersection</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Microsoft SEAL, PSI protocols, Google Attribution Reporting API</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Privacy-preserving conversion attribution</w:t>
            </w:r>
          </w:p>
        </w:tc>
      </w:tr>
    </w:tbl>
    <w:p>
      <w:r>
        <w:br w:type="page"/>
      </w:r>
    </w:p>
    <w:p>
      <w:pPr>
        <w:pStyle w:val="Heading1"/>
        <w:spacing w:before="400" w:after="200"/>
      </w:pPr>
      <w:r>
        <w:rPr>
          <w:rFonts w:ascii="Arial" w:cs="Arial" w:eastAsia="Arial" w:hAnsi="Arial"/>
          <w:b/>
          <w:bCs/>
          <w:color w:val="1A365D"/>
          <w:sz w:val="32"/>
          <w:szCs w:val="32"/>
        </w:rPr>
        <w:t xml:space="preserve">11. Open Design Questions</w:t>
      </w:r>
    </w:p>
    <w:p>
      <w:pPr>
        <w:spacing w:after="120"/>
        <w:jc w:val="left"/>
      </w:pPr>
      <w:r>
        <w:rPr>
          <w:rFonts w:ascii="Arial" w:cs="Arial" w:eastAsia="Arial" w:hAnsi="Arial"/>
          <w:color w:val="2D3748"/>
          <w:sz w:val="21"/>
          <w:szCs w:val="21"/>
        </w:rPr>
        <w:t xml:space="preserve">The following questions remain unresolved and should be addressed as the MVP progresses.</w:t>
      </w:r>
    </w:p>
    <w:p>
      <w:pPr>
        <w:spacing w:after="60"/>
      </w:pPr>
    </w:p>
    <w:p>
      <w:pPr>
        <w:pStyle w:val="ListParagraph"/>
        <w:numPr>
          <w:ilvl w:val="0"/>
          <w:numId w:val="8"/>
        </w:numPr>
        <w:spacing w:after="80"/>
      </w:pPr>
      <w:r>
        <w:rPr>
          <w:rFonts w:ascii="Arial" w:cs="Arial" w:eastAsia="Arial" w:hAnsi="Arial"/>
          <w:b/>
          <w:bCs/>
          <w:color w:val="2D3748"/>
          <w:sz w:val="21"/>
          <w:szCs w:val="21"/>
        </w:rPr>
        <w:t xml:space="preserve">Taxonomy Governance: </w:t>
      </w:r>
      <w:r>
        <w:rPr>
          <w:rFonts w:ascii="Arial" w:cs="Arial" w:eastAsia="Arial" w:hAnsi="Arial"/>
          <w:color w:val="2D3748"/>
          <w:sz w:val="21"/>
          <w:szCs w:val="21"/>
        </w:rPr>
        <w:t xml:space="preserve">Who decides when to add, remove, or restructure taxonomy categories? Options: protocol governance referendum, taxonomy council, or automated demand signals.</w:t>
      </w:r>
    </w:p>
    <w:p>
      <w:pPr>
        <w:pStyle w:val="ListParagraph"/>
        <w:numPr>
          <w:ilvl w:val="0"/>
          <w:numId w:val="8"/>
        </w:numPr>
        <w:spacing w:after="80"/>
      </w:pPr>
      <w:r>
        <w:rPr>
          <w:rFonts w:ascii="Arial" w:cs="Arial" w:eastAsia="Arial" w:hAnsi="Arial"/>
          <w:b/>
          <w:bCs/>
          <w:color w:val="2D3748"/>
          <w:sz w:val="21"/>
          <w:szCs w:val="21"/>
        </w:rPr>
        <w:t xml:space="preserve">Revenue Split Flexibility: </w:t>
      </w:r>
      <w:r>
        <w:rPr>
          <w:rFonts w:ascii="Arial" w:cs="Arial" w:eastAsia="Arial" w:hAnsi="Arial"/>
          <w:color w:val="2D3748"/>
          <w:sz w:val="21"/>
          <w:szCs w:val="21"/>
        </w:rPr>
        <w:t xml:space="preserve">Should the publisher/user/protocol split be fixed, adjustable per campaign, or dynamically determined by market competition?</w:t>
      </w:r>
    </w:p>
    <w:p>
      <w:pPr>
        <w:pStyle w:val="ListParagraph"/>
        <w:numPr>
          <w:ilvl w:val="0"/>
          <w:numId w:val="8"/>
        </w:numPr>
        <w:spacing w:after="80"/>
      </w:pPr>
      <w:r>
        <w:rPr>
          <w:rFonts w:ascii="Arial" w:cs="Arial" w:eastAsia="Arial" w:hAnsi="Arial"/>
          <w:b/>
          <w:bCs/>
          <w:color w:val="2D3748"/>
          <w:sz w:val="21"/>
          <w:szCs w:val="21"/>
        </w:rPr>
        <w:t xml:space="preserve">Cross-Browser Compatibility: </w:t>
      </w:r>
      <w:r>
        <w:rPr>
          <w:rFonts w:ascii="Arial" w:cs="Arial" w:eastAsia="Arial" w:hAnsi="Arial"/>
          <w:color w:val="2D3748"/>
          <w:sz w:val="21"/>
          <w:szCs w:val="21"/>
        </w:rPr>
        <w:t xml:space="preserve">Manifest V3 is Chrome-specific. Firefox uses a compatible but not identical API. Safari requires a different approach. What is the browser priority order?</w:t>
      </w:r>
    </w:p>
    <w:p>
      <w:pPr>
        <w:pStyle w:val="ListParagraph"/>
        <w:numPr>
          <w:ilvl w:val="0"/>
          <w:numId w:val="8"/>
        </w:numPr>
        <w:spacing w:after="80"/>
      </w:pPr>
      <w:r>
        <w:rPr>
          <w:rFonts w:ascii="Arial" w:cs="Arial" w:eastAsia="Arial" w:hAnsi="Arial"/>
          <w:b/>
          <w:bCs/>
          <w:color w:val="2D3748"/>
          <w:sz w:val="21"/>
          <w:szCs w:val="21"/>
        </w:rPr>
        <w:t xml:space="preserve">Campaign Minimum Budget: </w:t>
      </w:r>
      <w:r>
        <w:rPr>
          <w:rFonts w:ascii="Arial" w:cs="Arial" w:eastAsia="Arial" w:hAnsi="Arial"/>
          <w:color w:val="2D3748"/>
          <w:sz w:val="21"/>
          <w:szCs w:val="21"/>
        </w:rPr>
        <w:t xml:space="preserve">Should there be a minimum campaign budget to prevent spam? If so, how is it calibrated?</w:t>
      </w:r>
    </w:p>
    <w:p>
      <w:pPr>
        <w:pStyle w:val="ListParagraph"/>
        <w:numPr>
          <w:ilvl w:val="0"/>
          <w:numId w:val="8"/>
        </w:numPr>
        <w:spacing w:after="80"/>
      </w:pPr>
      <w:r>
        <w:rPr>
          <w:rFonts w:ascii="Arial" w:cs="Arial" w:eastAsia="Arial" w:hAnsi="Arial"/>
          <w:b/>
          <w:bCs/>
          <w:color w:val="2D3748"/>
          <w:sz w:val="21"/>
          <w:szCs w:val="21"/>
        </w:rPr>
        <w:t xml:space="preserve">Legal and Regulatory Compliance: </w:t>
      </w:r>
      <w:r>
        <w:rPr>
          <w:rFonts w:ascii="Arial" w:cs="Arial" w:eastAsia="Arial" w:hAnsi="Arial"/>
          <w:color w:val="2D3748"/>
          <w:sz w:val="21"/>
          <w:szCs w:val="21"/>
        </w:rPr>
        <w:t xml:space="preserve">GDPR, CCPA, and ePrivacy apply. What constitutes consent in a blockchain context? How does the right to deletion work when impression claims (not user data, but claim hashes) are on-chain?</w:t>
      </w:r>
    </w:p>
    <w:p>
      <w:pPr>
        <w:pStyle w:val="ListParagraph"/>
        <w:numPr>
          <w:ilvl w:val="0"/>
          <w:numId w:val="8"/>
        </w:numPr>
        <w:spacing w:after="80"/>
      </w:pPr>
      <w:r>
        <w:rPr>
          <w:rFonts w:ascii="Arial" w:cs="Arial" w:eastAsia="Arial" w:hAnsi="Arial"/>
          <w:b/>
          <w:bCs/>
          <w:color w:val="2D3748"/>
          <w:sz w:val="21"/>
          <w:szCs w:val="21"/>
        </w:rPr>
        <w:t xml:space="preserve">Tokenomics vs. Pure DOT: </w:t>
      </w:r>
      <w:r>
        <w:rPr>
          <w:rFonts w:ascii="Arial" w:cs="Arial" w:eastAsia="Arial" w:hAnsi="Arial"/>
          <w:color w:val="2D3748"/>
          <w:sz w:val="21"/>
          <w:szCs w:val="21"/>
        </w:rPr>
        <w:t xml:space="preserve">The current design uses DOT for governance and stablecoins for payment. Is there a case for a native DATUM token, and would that trigger securities regulation?</w:t>
      </w:r>
    </w:p>
    <w:p>
      <w:pPr>
        <w:pStyle w:val="ListParagraph"/>
        <w:numPr>
          <w:ilvl w:val="0"/>
          <w:numId w:val="8"/>
        </w:numPr>
        <w:spacing w:after="80"/>
      </w:pPr>
      <w:r>
        <w:rPr>
          <w:rFonts w:ascii="Arial" w:cs="Arial" w:eastAsia="Arial" w:hAnsi="Arial"/>
          <w:b/>
          <w:bCs/>
          <w:color w:val="2D3748"/>
          <w:sz w:val="21"/>
          <w:szCs w:val="21"/>
        </w:rPr>
        <w:t xml:space="preserve">KYB Jurisdiction Scope: </w:t>
      </w:r>
      <w:r>
        <w:rPr>
          <w:rFonts w:ascii="Arial" w:cs="Arial" w:eastAsia="Arial" w:hAnsi="Arial"/>
          <w:color w:val="2D3748"/>
          <w:sz w:val="21"/>
          <w:szCs w:val="21"/>
        </w:rPr>
        <w:t xml:space="preserve">Which jurisdictions should the initial KYB process support? How should the protocol handle businesses in jurisdictions with limited commercial registries?</w:t>
      </w:r>
    </w:p>
    <w:p>
      <w:pPr>
        <w:pStyle w:val="ListParagraph"/>
        <w:numPr>
          <w:ilvl w:val="0"/>
          <w:numId w:val="8"/>
        </w:numPr>
        <w:spacing w:after="80"/>
      </w:pPr>
      <w:r>
        <w:rPr>
          <w:rFonts w:ascii="Arial" w:cs="Arial" w:eastAsia="Arial" w:hAnsi="Arial"/>
          <w:b/>
          <w:bCs/>
          <w:color w:val="2D3748"/>
          <w:sz w:val="21"/>
          <w:szCs w:val="21"/>
        </w:rPr>
        <w:t xml:space="preserve">PoP Transition Timeline: </w:t>
      </w:r>
      <w:r>
        <w:rPr>
          <w:rFonts w:ascii="Arial" w:cs="Arial" w:eastAsia="Arial" w:hAnsi="Arial"/>
          <w:color w:val="2D3748"/>
          <w:sz w:val="21"/>
          <w:szCs w:val="21"/>
        </w:rPr>
        <w:t xml:space="preserve">When should proof-of-personhood become mandatory versus optional with earning bonuses? What metric should trigger the transition?</w:t>
      </w:r>
    </w:p>
    <w:p>
      <w:pPr>
        <w:pStyle w:val="ListParagraph"/>
        <w:numPr>
          <w:ilvl w:val="0"/>
          <w:numId w:val="8"/>
        </w:numPr>
        <w:spacing w:after="80"/>
      </w:pPr>
      <w:r>
        <w:rPr>
          <w:rFonts w:ascii="Arial" w:cs="Arial" w:eastAsia="Arial" w:hAnsi="Arial"/>
          <w:b/>
          <w:bCs/>
          <w:color w:val="2D3748"/>
          <w:sz w:val="21"/>
          <w:szCs w:val="21"/>
        </w:rPr>
        <w:t xml:space="preserve">KYB Cost Responsibility: </w:t>
      </w:r>
      <w:r>
        <w:rPr>
          <w:rFonts w:ascii="Arial" w:cs="Arial" w:eastAsia="Arial" w:hAnsi="Arial"/>
          <w:color w:val="2D3748"/>
          <w:sz w:val="21"/>
          <w:szCs w:val="21"/>
        </w:rPr>
        <w:t xml:space="preserve">Who pays for KYB verification — the business, the protocol treasury, or a combination?</w:t>
      </w:r>
    </w:p>
    <w:p>
      <w:pPr>
        <w:pStyle w:val="ListParagraph"/>
        <w:numPr>
          <w:ilvl w:val="0"/>
          <w:numId w:val="8"/>
        </w:numPr>
        <w:spacing w:after="80"/>
      </w:pPr>
      <w:r>
        <w:rPr>
          <w:rFonts w:ascii="Arial" w:cs="Arial" w:eastAsia="Arial" w:hAnsi="Arial"/>
          <w:b/>
          <w:bCs/>
          <w:color w:val="2D3748"/>
          <w:sz w:val="21"/>
          <w:szCs w:val="21"/>
        </w:rPr>
        <w:t xml:space="preserve">Auction Floor Price: </w:t>
      </w:r>
      <w:r>
        <w:rPr>
          <w:rFonts w:ascii="Arial" w:cs="Arial" w:eastAsia="Arial" w:hAnsi="Arial"/>
          <w:color w:val="2D3748"/>
          <w:sz w:val="21"/>
          <w:szCs w:val="21"/>
        </w:rPr>
        <w:t xml:space="preserve">Should the protocol enforce a minimum CPM floor to prevent a race to the bottom? If so, should it be global, per-category, or per-publisher?</w:t>
      </w:r>
    </w:p>
    <w:p>
      <w:pPr>
        <w:pStyle w:val="ListParagraph"/>
        <w:numPr>
          <w:ilvl w:val="0"/>
          <w:numId w:val="8"/>
        </w:numPr>
        <w:spacing w:after="80"/>
      </w:pPr>
      <w:r>
        <w:rPr>
          <w:rFonts w:ascii="Arial" w:cs="Arial" w:eastAsia="Arial" w:hAnsi="Arial"/>
          <w:b/>
          <w:bCs/>
          <w:color w:val="2D3748"/>
          <w:sz w:val="21"/>
          <w:szCs w:val="21"/>
        </w:rPr>
        <w:t xml:space="preserve">Viewability Disputes: </w:t>
      </w:r>
      <w:r>
        <w:rPr>
          <w:rFonts w:ascii="Arial" w:cs="Arial" w:eastAsia="Arial" w:hAnsi="Arial"/>
          <w:color w:val="2D3748"/>
          <w:sz w:val="21"/>
          <w:szCs w:val="21"/>
        </w:rPr>
        <w:t xml:space="preserve">If an advertiser believes viewability attestations are inaccurate, what is the dispute resolution mechanism? On-chain arbitration or off-chain mediation?</w:t>
      </w:r>
    </w:p>
    <w:p>
      <w:pPr>
        <w:pStyle w:val="ListParagraph"/>
        <w:numPr>
          <w:ilvl w:val="0"/>
          <w:numId w:val="8"/>
        </w:numPr>
        <w:spacing w:after="80"/>
      </w:pPr>
      <w:r>
        <w:rPr>
          <w:rFonts w:ascii="Arial" w:cs="Arial" w:eastAsia="Arial" w:hAnsi="Arial"/>
          <w:b/>
          <w:bCs/>
          <w:color w:val="2D3748"/>
          <w:sz w:val="21"/>
          <w:szCs w:val="21"/>
        </w:rPr>
        <w:t xml:space="preserve">Publisher SDK Integrity: </w:t>
      </w:r>
      <w:r>
        <w:rPr>
          <w:rFonts w:ascii="Arial" w:cs="Arial" w:eastAsia="Arial" w:hAnsi="Arial"/>
          <w:color w:val="2D3748"/>
          <w:sz w:val="21"/>
          <w:szCs w:val="21"/>
        </w:rPr>
        <w:t xml:space="preserve">The publisher SDK co-signs impressions, but publishers control their own code. How do you prevent publishers from modifying the SDK to auto-sign without real rendering? Consider a publisher SDK hash registry analogous to the extension integrity system.</w:t>
      </w:r>
    </w:p>
    <w:p>
      <w:pPr>
        <w:spacing w:after="60"/>
      </w:pPr>
    </w:p>
    <w:p>
      <w:pPr>
        <w:pStyle w:val="Heading1"/>
        <w:spacing w:before="400" w:after="200"/>
      </w:pPr>
      <w:r>
        <w:rPr>
          <w:rFonts w:ascii="Arial" w:cs="Arial" w:eastAsia="Arial" w:hAnsi="Arial"/>
          <w:b/>
          <w:bCs/>
          <w:color w:val="1A365D"/>
          <w:sz w:val="32"/>
          <w:szCs w:val="32"/>
        </w:rPr>
        <w:t xml:space="preserve">12. Protocol Governance</w:t>
      </w:r>
    </w:p>
    <w:p>
      <w:pPr>
        <w:spacing w:after="120"/>
        <w:jc w:val="left"/>
      </w:pPr>
      <w:r>
        <w:rPr>
          <w:rFonts w:ascii="Arial" w:cs="Arial" w:eastAsia="Arial" w:hAnsi="Arial"/>
          <w:color w:val="2D3748"/>
          <w:sz w:val="21"/>
          <w:szCs w:val="21"/>
        </w:rPr>
        <w:t xml:space="preserve">Separate from campaign-level governance (Section 7), DATUM requires protocol-level governance to manage system-wide parameters, runtime upgrades, and ecosystem decisions. Without protocol governance, day-one parameter choices become permanent even when they need adjustment.</w:t>
      </w:r>
    </w:p>
    <w:p>
      <w:pPr>
        <w:spacing w:after="60"/>
      </w:pPr>
    </w:p>
    <w:p>
      <w:pPr>
        <w:pStyle w:val="Heading2"/>
        <w:spacing w:before="300" w:after="150"/>
      </w:pPr>
      <w:r>
        <w:rPr>
          <w:rFonts w:ascii="Arial" w:cs="Arial" w:eastAsia="Arial" w:hAnsi="Arial"/>
          <w:b/>
          <w:bCs/>
          <w:color w:val="2B6CB0"/>
          <w:sz w:val="26"/>
          <w:szCs w:val="26"/>
        </w:rPr>
        <w:t xml:space="preserve">12.1 Governance Scope</w:t>
      </w:r>
    </w:p>
    <w:p>
      <w:pPr>
        <w:spacing w:after="120"/>
        <w:jc w:val="left"/>
      </w:pPr>
      <w:r>
        <w:rPr>
          <w:rFonts w:ascii="Arial" w:cs="Arial" w:eastAsia="Arial" w:hAnsi="Arial"/>
          <w:color w:val="2D3748"/>
          <w:sz w:val="21"/>
          <w:szCs w:val="21"/>
        </w:rPr>
        <w:t xml:space="preserve">Protocol governance controls the following parameters and decisions:</w:t>
      </w:r>
    </w:p>
    <w:p>
      <w:pPr>
        <w:spacing w:after="40"/>
      </w:pPr>
    </w:p>
    <w:p>
      <w:pPr>
        <w:pStyle w:val="ListParagraph"/>
        <w:numPr>
          <w:ilvl w:val="0"/>
          <w:numId w:val="2"/>
        </w:numPr>
        <w:spacing w:after="60"/>
      </w:pPr>
      <w:r>
        <w:rPr>
          <w:rFonts w:ascii="Arial" w:cs="Arial" w:eastAsia="Arial" w:hAnsi="Arial"/>
          <w:b/>
          <w:bCs/>
          <w:color w:val="2D3748"/>
          <w:sz w:val="21"/>
          <w:szCs w:val="21"/>
        </w:rPr>
        <w:t xml:space="preserve">Economic Parameters: </w:t>
      </w:r>
      <w:r>
        <w:rPr>
          <w:rFonts w:ascii="Arial" w:cs="Arial" w:eastAsia="Arial" w:hAnsi="Arial"/>
          <w:color w:val="2D3748"/>
          <w:sz w:val="21"/>
          <w:szCs w:val="21"/>
        </w:rPr>
        <w:t xml:space="preserve">Revenue split percentages, protocol fee rate, minimum campaign budget, publisher quality thresholds, claim rate limits, anti-spam deposit amounts.</w:t>
      </w:r>
    </w:p>
    <w:p>
      <w:pPr>
        <w:pStyle w:val="ListParagraph"/>
        <w:numPr>
          <w:ilvl w:val="0"/>
          <w:numId w:val="2"/>
        </w:numPr>
        <w:spacing w:after="60"/>
      </w:pPr>
      <w:r>
        <w:rPr>
          <w:rFonts w:ascii="Arial" w:cs="Arial" w:eastAsia="Arial" w:hAnsi="Arial"/>
          <w:b/>
          <w:bCs/>
          <w:color w:val="2D3748"/>
          <w:sz w:val="21"/>
          <w:szCs w:val="21"/>
        </w:rPr>
        <w:t xml:space="preserve">Taxonomy Management: </w:t>
      </w:r>
      <w:r>
        <w:rPr>
          <w:rFonts w:ascii="Arial" w:cs="Arial" w:eastAsia="Arial" w:hAnsi="Arial"/>
          <w:color w:val="2D3748"/>
          <w:sz w:val="21"/>
          <w:szCs w:val="21"/>
        </w:rPr>
        <w:t xml:space="preserve">Adding, removing, or restructuring interest taxonomy categories. Approving taxonomy version upgrades.</w:t>
      </w:r>
    </w:p>
    <w:p>
      <w:pPr>
        <w:pStyle w:val="ListParagraph"/>
        <w:numPr>
          <w:ilvl w:val="0"/>
          <w:numId w:val="2"/>
        </w:numPr>
        <w:spacing w:after="60"/>
      </w:pPr>
      <w:r>
        <w:rPr>
          <w:rFonts w:ascii="Arial" w:cs="Arial" w:eastAsia="Arial" w:hAnsi="Arial"/>
          <w:b/>
          <w:bCs/>
          <w:color w:val="2D3748"/>
          <w:sz w:val="21"/>
          <w:szCs w:val="21"/>
        </w:rPr>
        <w:t xml:space="preserve">Identity Providers: </w:t>
      </w:r>
      <w:r>
        <w:rPr>
          <w:rFonts w:ascii="Arial" w:cs="Arial" w:eastAsia="Arial" w:hAnsi="Arial"/>
          <w:color w:val="2D3748"/>
          <w:sz w:val="21"/>
          <w:szCs w:val="21"/>
        </w:rPr>
        <w:t xml:space="preserve">Adding or removing approved KYB attestation providers and proof-of-personhood verifiers.</w:t>
      </w:r>
    </w:p>
    <w:p>
      <w:pPr>
        <w:pStyle w:val="ListParagraph"/>
        <w:numPr>
          <w:ilvl w:val="0"/>
          <w:numId w:val="2"/>
        </w:numPr>
        <w:spacing w:after="60"/>
      </w:pPr>
      <w:r>
        <w:rPr>
          <w:rFonts w:ascii="Arial" w:cs="Arial" w:eastAsia="Arial" w:hAnsi="Arial"/>
          <w:b/>
          <w:bCs/>
          <w:color w:val="2D3748"/>
          <w:sz w:val="21"/>
          <w:szCs w:val="21"/>
        </w:rPr>
        <w:t xml:space="preserve">Extension Version Registry: </w:t>
      </w:r>
      <w:r>
        <w:rPr>
          <w:rFonts w:ascii="Arial" w:cs="Arial" w:eastAsia="Arial" w:hAnsi="Arial"/>
          <w:color w:val="2D3748"/>
          <w:sz w:val="21"/>
          <w:szCs w:val="21"/>
        </w:rPr>
        <w:t xml:space="preserve">Approving new extension version hashes. Revoking compromised versions.</w:t>
      </w:r>
    </w:p>
    <w:p>
      <w:pPr>
        <w:pStyle w:val="ListParagraph"/>
        <w:numPr>
          <w:ilvl w:val="0"/>
          <w:numId w:val="2"/>
        </w:numPr>
        <w:spacing w:after="60"/>
      </w:pPr>
      <w:r>
        <w:rPr>
          <w:rFonts w:ascii="Arial" w:cs="Arial" w:eastAsia="Arial" w:hAnsi="Arial"/>
          <w:b/>
          <w:bCs/>
          <w:color w:val="2D3748"/>
          <w:sz w:val="21"/>
          <w:szCs w:val="21"/>
        </w:rPr>
        <w:t xml:space="preserve">Runtime Upgrades: </w:t>
      </w:r>
      <w:r>
        <w:rPr>
          <w:rFonts w:ascii="Arial" w:cs="Arial" w:eastAsia="Arial" w:hAnsi="Arial"/>
          <w:color w:val="2D3748"/>
          <w:sz w:val="21"/>
          <w:szCs w:val="21"/>
        </w:rPr>
        <w:t xml:space="preserve">Substrate runtime upgrades that change pallet logic, storage migrations, or add new functionality.</w:t>
      </w:r>
    </w:p>
    <w:p>
      <w:pPr>
        <w:pStyle w:val="ListParagraph"/>
        <w:numPr>
          <w:ilvl w:val="0"/>
          <w:numId w:val="2"/>
        </w:numPr>
        <w:spacing w:after="60"/>
      </w:pPr>
      <w:r>
        <w:rPr>
          <w:rFonts w:ascii="Arial" w:cs="Arial" w:eastAsia="Arial" w:hAnsi="Arial"/>
          <w:b/>
          <w:bCs/>
          <w:color w:val="2D3748"/>
          <w:sz w:val="21"/>
          <w:szCs w:val="21"/>
        </w:rPr>
        <w:t xml:space="preserve">Emergency Actions: </w:t>
      </w:r>
      <w:r>
        <w:rPr>
          <w:rFonts w:ascii="Arial" w:cs="Arial" w:eastAsia="Arial" w:hAnsi="Arial"/>
          <w:color w:val="2D3748"/>
          <w:sz w:val="21"/>
          <w:szCs w:val="21"/>
        </w:rPr>
        <w:t xml:space="preserve">Pausing settlement, freezing a malicious publisher or advertiser account, adjusting slashing parameters.</w:t>
      </w:r>
    </w:p>
    <w:p>
      <w:pPr>
        <w:spacing w:after="60"/>
      </w:pPr>
    </w:p>
    <w:p>
      <w:pPr>
        <w:pStyle w:val="Heading2"/>
        <w:spacing w:before="300" w:after="150"/>
      </w:pPr>
      <w:r>
        <w:rPr>
          <w:rFonts w:ascii="Arial" w:cs="Arial" w:eastAsia="Arial" w:hAnsi="Arial"/>
          <w:b/>
          <w:bCs/>
          <w:color w:val="2B6CB0"/>
          <w:sz w:val="26"/>
          <w:szCs w:val="26"/>
        </w:rPr>
        <w:t xml:space="preserve">12.2 Governance Model</w:t>
      </w:r>
    </w:p>
    <w:p>
      <w:pPr>
        <w:spacing w:after="120"/>
        <w:jc w:val="left"/>
      </w:pPr>
      <w:r>
        <w:rPr>
          <w:rFonts w:ascii="Arial" w:cs="Arial" w:eastAsia="Arial" w:hAnsi="Arial"/>
          <w:color w:val="2D3748"/>
          <w:sz w:val="21"/>
          <w:szCs w:val="21"/>
        </w:rPr>
        <w:t xml:space="preserve">The protocol uses a phased governance approach:</w:t>
      </w:r>
    </w:p>
    <w:p>
      <w:pPr>
        <w:spacing w:after="40"/>
      </w:pPr>
    </w:p>
    <w:p>
      <w:pPr>
        <w:spacing w:before="200" w:after="100"/>
      </w:pPr>
      <w:r>
        <w:rPr>
          <w:rFonts w:ascii="Arial" w:cs="Arial" w:eastAsia="Arial" w:hAnsi="Arial"/>
          <w:b/>
          <w:bCs/>
          <w:color w:val="1A365D"/>
          <w:sz w:val="22"/>
          <w:szCs w:val="22"/>
        </w:rPr>
        <w:t xml:space="preserve">12.2.1 MVP Phase: Multi-Sig Council</w:t>
      </w:r>
    </w:p>
    <w:p>
      <w:pPr>
        <w:pStyle w:val="ListParagraph"/>
        <w:numPr>
          <w:ilvl w:val="0"/>
          <w:numId w:val="2"/>
        </w:numPr>
        <w:spacing w:after="60"/>
      </w:pPr>
      <w:r>
        <w:rPr>
          <w:rFonts w:ascii="Arial" w:cs="Arial" w:eastAsia="Arial" w:hAnsi="Arial"/>
          <w:b/>
          <w:bCs/>
          <w:color w:val="2D3748"/>
          <w:sz w:val="21"/>
          <w:szCs w:val="21"/>
        </w:rPr>
        <w:t xml:space="preserve">Structure: </w:t>
      </w:r>
      <w:r>
        <w:rPr>
          <w:rFonts w:ascii="Arial" w:cs="Arial" w:eastAsia="Arial" w:hAnsi="Arial"/>
          <w:color w:val="2D3748"/>
          <w:sz w:val="21"/>
          <w:szCs w:val="21"/>
        </w:rPr>
        <w:t xml:space="preserve">A 5-of-7 multi-signature council manages protocol parameters during the MVP phase. Council members are publicly identified and include the core development team and early ecosystem advisors.</w:t>
      </w:r>
    </w:p>
    <w:p>
      <w:pPr>
        <w:pStyle w:val="ListParagraph"/>
        <w:numPr>
          <w:ilvl w:val="0"/>
          <w:numId w:val="2"/>
        </w:numPr>
        <w:spacing w:after="60"/>
      </w:pPr>
      <w:r>
        <w:rPr>
          <w:rFonts w:ascii="Arial" w:cs="Arial" w:eastAsia="Arial" w:hAnsi="Arial"/>
          <w:b/>
          <w:bCs/>
          <w:color w:val="2D3748"/>
          <w:sz w:val="21"/>
          <w:szCs w:val="21"/>
        </w:rPr>
        <w:t xml:space="preserve">Transparency: </w:t>
      </w:r>
      <w:r>
        <w:rPr>
          <w:rFonts w:ascii="Arial" w:cs="Arial" w:eastAsia="Arial" w:hAnsi="Arial"/>
          <w:color w:val="2D3748"/>
          <w:sz w:val="21"/>
          <w:szCs w:val="21"/>
        </w:rPr>
        <w:t xml:space="preserve">All council actions are executed on-chain and publicly auditable. Parameter changes are announced with a 7-day delay before taking effect.</w:t>
      </w:r>
    </w:p>
    <w:p>
      <w:pPr>
        <w:pStyle w:val="ListParagraph"/>
        <w:numPr>
          <w:ilvl w:val="0"/>
          <w:numId w:val="2"/>
        </w:numPr>
        <w:spacing w:after="60"/>
      </w:pPr>
      <w:r>
        <w:rPr>
          <w:rFonts w:ascii="Arial" w:cs="Arial" w:eastAsia="Arial" w:hAnsi="Arial"/>
          <w:b/>
          <w:bCs/>
          <w:color w:val="2D3748"/>
          <w:sz w:val="21"/>
          <w:szCs w:val="21"/>
        </w:rPr>
        <w:t xml:space="preserve">Limitations: </w:t>
      </w:r>
      <w:r>
        <w:rPr>
          <w:rFonts w:ascii="Arial" w:cs="Arial" w:eastAsia="Arial" w:hAnsi="Arial"/>
          <w:color w:val="2D3748"/>
          <w:sz w:val="21"/>
          <w:szCs w:val="21"/>
        </w:rPr>
        <w:t xml:space="preserve">The council cannot modify user balances, access escrow funds, or change campaign governance outcomes. Their power is limited to system-wide parameter adjustments.</w:t>
      </w:r>
    </w:p>
    <w:p>
      <w:pPr>
        <w:spacing w:after="40"/>
      </w:pPr>
    </w:p>
    <w:p>
      <w:pPr>
        <w:spacing w:before="200" w:after="100"/>
      </w:pPr>
      <w:r>
        <w:rPr>
          <w:rFonts w:ascii="Arial" w:cs="Arial" w:eastAsia="Arial" w:hAnsi="Arial"/>
          <w:b/>
          <w:bCs/>
          <w:color w:val="1A365D"/>
          <w:sz w:val="22"/>
          <w:szCs w:val="22"/>
        </w:rPr>
        <w:t xml:space="preserve">12.2.2 Post-MVP: Decentralized Governance</w:t>
      </w:r>
    </w:p>
    <w:p>
      <w:pPr>
        <w:pStyle w:val="ListParagraph"/>
        <w:numPr>
          <w:ilvl w:val="0"/>
          <w:numId w:val="2"/>
        </w:numPr>
        <w:spacing w:after="60"/>
      </w:pPr>
      <w:r>
        <w:rPr>
          <w:rFonts w:ascii="Arial" w:cs="Arial" w:eastAsia="Arial" w:hAnsi="Arial"/>
          <w:b/>
          <w:bCs/>
          <w:color w:val="2D3748"/>
          <w:sz w:val="21"/>
          <w:szCs w:val="21"/>
        </w:rPr>
        <w:t xml:space="preserve">Transition: </w:t>
      </w:r>
      <w:r>
        <w:rPr>
          <w:rFonts w:ascii="Arial" w:cs="Arial" w:eastAsia="Arial" w:hAnsi="Arial"/>
          <w:color w:val="2D3748"/>
          <w:sz w:val="21"/>
          <w:szCs w:val="21"/>
        </w:rPr>
        <w:t xml:space="preserve">As the ecosystem matures, protocol governance transitions to a Polkadot OpenGov-style system with conviction-weighted voting by DOT holders.</w:t>
      </w:r>
    </w:p>
    <w:p>
      <w:pPr>
        <w:pStyle w:val="ListParagraph"/>
        <w:numPr>
          <w:ilvl w:val="0"/>
          <w:numId w:val="2"/>
        </w:numPr>
        <w:spacing w:after="60"/>
      </w:pPr>
      <w:r>
        <w:rPr>
          <w:rFonts w:ascii="Arial" w:cs="Arial" w:eastAsia="Arial" w:hAnsi="Arial"/>
          <w:b/>
          <w:bCs/>
          <w:color w:val="2D3748"/>
          <w:sz w:val="21"/>
          <w:szCs w:val="21"/>
        </w:rPr>
        <w:t xml:space="preserve">Track System: </w:t>
      </w:r>
      <w:r>
        <w:rPr>
          <w:rFonts w:ascii="Arial" w:cs="Arial" w:eastAsia="Arial" w:hAnsi="Arial"/>
          <w:color w:val="2D3748"/>
          <w:sz w:val="21"/>
          <w:szCs w:val="21"/>
        </w:rPr>
        <w:t xml:space="preserve">Different parameter types map to different governance tracks with appropriate thresholds: routine parameter adjustments (low threshold, short voting period), taxonomy changes (medium threshold), runtime upgrades (high threshold, long voting period), emergency actions (fast-track with council initiation).</w:t>
      </w:r>
    </w:p>
    <w:p>
      <w:pPr>
        <w:pStyle w:val="ListParagraph"/>
        <w:numPr>
          <w:ilvl w:val="0"/>
          <w:numId w:val="2"/>
        </w:numPr>
        <w:spacing w:after="60"/>
      </w:pPr>
      <w:r>
        <w:rPr>
          <w:rFonts w:ascii="Arial" w:cs="Arial" w:eastAsia="Arial" w:hAnsi="Arial"/>
          <w:b/>
          <w:bCs/>
          <w:color w:val="2D3748"/>
          <w:sz w:val="21"/>
          <w:szCs w:val="21"/>
        </w:rPr>
        <w:t xml:space="preserve">Delegation: </w:t>
      </w:r>
      <w:r>
        <w:rPr>
          <w:rFonts w:ascii="Arial" w:cs="Arial" w:eastAsia="Arial" w:hAnsi="Arial"/>
          <w:color w:val="2D3748"/>
          <w:sz w:val="21"/>
          <w:szCs w:val="21"/>
        </w:rPr>
        <w:t xml:space="preserve">Token holders can delegate their governance power to domain experts (e.g., ad tech specialists for taxonomy decisions, security researchers for extension version approvals).</w:t>
      </w:r>
    </w:p>
    <w:p>
      <w:pPr>
        <w:spacing w:after="200"/>
      </w:pPr>
    </w:p>
    <w:p>
      <w:pPr>
        <w:pBdr>
          <w:bottom w:val="single" w:color="E2E8F0" w:sz="2" w:space="1"/>
        </w:pBdr>
        <w:spacing w:before="200" w:after="200"/>
      </w:pPr>
    </w:p>
    <w:p>
      <w:pPr>
        <w:spacing w:before="200"/>
        <w:jc w:val="center"/>
      </w:pPr>
      <w:r>
        <w:rPr>
          <w:rFonts w:ascii="Arial" w:cs="Arial" w:eastAsia="Arial" w:hAnsi="Arial"/>
          <w:i/>
          <w:iCs/>
          <w:color w:val="2D3748"/>
          <w:sz w:val="20"/>
          <w:szCs w:val="20"/>
        </w:rPr>
        <w:t xml:space="preserve">End of Document — DATUM Architecture v0.3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i/>
        <w:iCs/>
        <w:color w:val="2D3748"/>
        <w:sz w:val="16"/>
        <w:szCs w:val="16"/>
      </w:rPr>
      <w:t xml:space="preserve">Confidential — DATUM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365D"/>
        <w:sz w:val="18"/>
        <w:szCs w:val="18"/>
      </w:rPr>
      <w:t xml:space="preserve">DATUM </w:t>
    </w:r>
    <w:r>
      <w:rPr>
        <w:rFonts w:ascii="Arial" w:cs="Arial" w:eastAsia="Arial" w:hAnsi="Arial"/>
        <w:color w:val="2D3748"/>
        <w:sz w:val="18"/>
        <w:szCs w:val="18"/>
      </w:rPr>
      <w:t xml:space="preserve">Architecture Specification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2026-02-23T20:27:03.414Z</dcterms:created>
  <dcterms:modified xsi:type="dcterms:W3CDTF">2026-02-23T20:27:03.416Z</dcterms:modified>
</cp:coreProperties>
</file>

<file path=docProps/custom.xml><?xml version="1.0" encoding="utf-8"?>
<Properties xmlns="http://schemas.openxmlformats.org/officeDocument/2006/custom-properties" xmlns:vt="http://schemas.openxmlformats.org/officeDocument/2006/docPropsVTypes"/>
</file>