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Lee 01_UNIDAD1_Introduccion_BD que tienes en la carpeta Teoría, y responde a las siguientes preguntas: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Completa la frase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67a6b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7a6b"/>
          <w:sz w:val="21"/>
          <w:szCs w:val="21"/>
          <w:u w:val="none"/>
          <w:shd w:fill="auto" w:val="clear"/>
          <w:vertAlign w:val="baseline"/>
          <w:rtl w:val="0"/>
        </w:rPr>
        <w:t xml:space="preserve">Las bases de datos surgen como un nuevo planteamiento de los sistemas orientado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5a7a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7a6b"/>
          <w:sz w:val="21"/>
          <w:szCs w:val="21"/>
          <w:u w:val="none"/>
          <w:shd w:fill="auto" w:val="clear"/>
          <w:vertAlign w:val="baseline"/>
          <w:rtl w:val="0"/>
        </w:rPr>
        <w:t xml:space="preserve">, en lugar de orientados al procedimiento, para mejorar tanto las prestaciones como el rendimiento.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7a6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ventajas que aportan las bases de datos sobre los sistemas de ficheros?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¿Es lo mismo una Base de Datos que un Sistema Gestor de Base de Datos (SGBD)? Si  no lo es explica la diferencia.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un pequeño taller mecánico "Talleres FABER" se ha diseñado una Base de Datos. De las siguientes cuestiones indica si son verdad o no. En caso de ser falso justifícalo: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El personal de administración del taller que añade, modifica o borra artículos en la base de datos del taller accede a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esquema externo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El personal informático que diseña la base de datos: los objetos que se van a almacenar, sus relaciones, las reglas que deben cumplir , etc, acceden al nivel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esquema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El personal de taller que consulta el programa de control de existencias de almacén accede a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esquema conceptual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5a7a"/>
          <w:sz w:val="21"/>
          <w:szCs w:val="21"/>
          <w:u w:val="none"/>
          <w:shd w:fill="auto" w:val="clear"/>
          <w:vertAlign w:val="baseline"/>
          <w:rtl w:val="0"/>
        </w:rPr>
        <w:t xml:space="preserve">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Realiza un dibujo en el que aparezcan los componentes necesarios para implementar un sistema de base de datos centralizado siguiendo una arquitectura cliente-servidor.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520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0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1C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