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Infórmate de que es una fuente de alimentación y sus características leyendo la siguiente página web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http://www.hispazone.com/Guia/98/Fuentes-de-Alimentacion-tipos-caracteristicas-e-instalacion.html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el siguiente enlace encontrarás información sobre una fuente de alimentación.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http://www.hispazone.com/Review/730/Corsair-AX1200i-La-fuente-de-alimentacion-inteligente.html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Haz una lista con los tipos de conectores que tiene la fuente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Identifica los distintos conectores mostrados en la figura de la fuente de alimentación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380045</wp:posOffset>
            </wp:positionH>
            <wp:positionV relativeFrom="paragraph">
              <wp:posOffset>0</wp:posOffset>
            </wp:positionV>
            <wp:extent cx="5360040" cy="3124079"/>
            <wp:effectExtent b="0" l="0" r="0" t="0"/>
            <wp:wrapTopAndBottom distB="0" dist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040" cy="3124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compañero de otro ciclo sabe que estamos estudiando informática y nos ha enviado el siguiente enlace web y nos ha hecho las siguientes preguntas: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https://www.hispazone.com/Noticia/10313/Corsair-lanza-sus-primeras-fuentes-de-alimentacion-compactas-SFX.html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significa que la fuente tenga formato SFX?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 una fuente de pequeño tamaño para ordenadores que han de ser compactos y tienen altas prestaciones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representa 80 PLUS GOLD?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Eficiencia energética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¿Es importante que sea modular?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Hay alguna diferencia entre el conector de alimentación de una fuente ATX, una ATX2 y una ATX 2.2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Las fuentes ATX necesitan un pulso de arranque para iniciar. Busca en Internet que 2 pines hay que unir para encender, si no queremos unirlas a la placa base: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fuente ATX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fuente ATX2.2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Pruébalo con la fuente que se te asigne.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Mira la fuente de alimentación que se te asigne e indica el formato, la potencia máxima, y que tipo de dispositivos podríamos conectar.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Utiliza el tester para ver el estado de la fuente de alimentación que se te ha asignado. Mira el manual que tienes en ikas para ver como utilizar el tester.</w:t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6838" w:w="11906"/>
      <w:pgMar w:bottom="878" w:top="3037" w:left="1134" w:right="1134" w:header="720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xi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660" y="3772620"/>
                        <a:ext cx="20268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660" y="3772620"/>
                        <a:ext cx="202680" cy="14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212725" cy="22225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922220" y="3550320"/>
                        <a:ext cx="6847560" cy="459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114300" distR="11430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48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-25399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832400" y="3094021"/>
                        <a:ext cx="7027200" cy="1371959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1" anchor="ctr" bIns="12600" lIns="12600" spcFirstLastPara="1" rIns="12600" wrap="square" tIns="126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-25399</wp:posOffset>
              </wp:positionV>
              <wp:extent cx="7074050" cy="1422550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4050" cy="1422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8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52120" y="3551221"/>
                        <a:ext cx="1787760" cy="4575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114300" distR="11430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585060" y="3551221"/>
                        <a:ext cx="3521880" cy="4575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114300" distR="11430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1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-206998</wp:posOffset>
          </wp:positionH>
          <wp:positionV relativeFrom="paragraph">
            <wp:posOffset>558720</wp:posOffset>
          </wp:positionV>
          <wp:extent cx="1392480" cy="545400"/>
          <wp:effectExtent b="0" l="0" r="0" t="0"/>
          <wp:wrapTopAndBottom distB="0" distT="0"/>
          <wp:docPr id="2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480" cy="545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xi Sans" w:cs="Luxi Sans" w:eastAsia="Luxi Sans" w:hAnsi="Luxi Sans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Luxi Sans" w:cs="Luxi Sans" w:eastAsia="Luxi Sans" w:hAnsi="Luxi Sans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ispazone.com/Noticia/10313/Corsair-lanza-sus-primeras-fuentes-de-alimentacion-compactas-SF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hispazone.com/Guia/98/Fuentes-de-Alimentacion-tipos-caracteristicas-e-instalacion.html" TargetMode="External"/><Relationship Id="rId7" Type="http://schemas.openxmlformats.org/officeDocument/2006/relationships/hyperlink" Target="http://www.hispazone.com/Review/730/Corsair-AX1200i-La-fuente-de-alimentacion-inteligente.html" TargetMode="External"/><Relationship Id="rId8" Type="http://schemas.openxmlformats.org/officeDocument/2006/relationships/image" Target="media/image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0.png"/><Relationship Id="rId3" Type="http://schemas.openxmlformats.org/officeDocument/2006/relationships/image" Target="media/image16.png"/><Relationship Id="rId4" Type="http://schemas.openxmlformats.org/officeDocument/2006/relationships/image" Target="media/image14.png"/><Relationship Id="rId5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