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hito-de-integración-sqa"/>
    <w:p>
      <w:pPr>
        <w:pStyle w:val="Heading1"/>
      </w:pPr>
      <w:r>
        <w:t xml:space="preserve">HITO DE INTEGRACIÓN SQA</w:t>
      </w:r>
    </w:p>
    <w:bookmarkStart w:id="20" w:name="portal-de-consejeras"/>
    <w:p>
      <w:pPr>
        <w:pStyle w:val="Heading2"/>
      </w:pPr>
      <w:r>
        <w:t xml:space="preserve">Portal de Consejeras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[nombre del curso]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Catedrático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Filemón Arreaga · Juan Carlos Vásquez · Juan Francisco Arriola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r>
        <w:br w:type="page"/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documento entrega los tres artefactos que pide el hito:</w:t>
      </w:r>
    </w:p>
    <w:p>
      <w:pPr>
        <w:numPr>
          <w:ilvl w:val="0"/>
          <w:numId w:val="1001"/>
        </w:numPr>
        <w:pStyle w:val="Compact"/>
      </w:pPr>
      <w:r>
        <w:t xml:space="preserve">Matriz de Roles y Responsabilidades (RACI)</w:t>
      </w:r>
    </w:p>
    <w:p>
      <w:pPr>
        <w:numPr>
          <w:ilvl w:val="0"/>
          <w:numId w:val="1001"/>
        </w:numPr>
        <w:pStyle w:val="Compact"/>
      </w:pPr>
      <w:r>
        <w:t xml:space="preserve">Especificación de Requisitos No Funcionales (NFR), según ISO/IEC 25010</w:t>
      </w:r>
    </w:p>
    <w:p>
      <w:pPr>
        <w:numPr>
          <w:ilvl w:val="0"/>
          <w:numId w:val="1001"/>
        </w:numPr>
        <w:pStyle w:val="Compact"/>
      </w:pPr>
      <w:r>
        <w:t xml:space="preserve">Plan Inicial de Pruebas: estructura de pruebas unitarias e integración</w:t>
      </w:r>
    </w:p>
    <w:p>
      <w:pPr>
        <w:pStyle w:val="FirstParagraph"/>
      </w:pPr>
      <w:r>
        <w:t xml:space="preserve">Al final se responde explícitamente al checklist de auditoría de clase.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atriz-de-roles-y-responsabilidades-raci"/>
    <w:p>
      <w:pPr>
        <w:pStyle w:val="Heading1"/>
      </w:pPr>
      <w:r>
        <w:t xml:space="preserve">1. Matriz de Roles y Responsabilidades (RACI)</w:t>
      </w:r>
    </w:p>
    <w:bookmarkStart w:id="23" w:name="qué-es-una-matriz-raci"/>
    <w:p>
      <w:pPr>
        <w:pStyle w:val="Heading2"/>
      </w:pPr>
      <w:r>
        <w:t xml:space="preserve">1.1 Qué es una matriz RACI</w:t>
      </w:r>
    </w:p>
    <w:p>
      <w:pPr>
        <w:pStyle w:val="FirstParagraph"/>
      </w:pPr>
      <w:r>
        <w:t xml:space="preserve">Para cada actividad del proyecto, define quién: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hace el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responde por el resultado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 se le pide opinión antes de decidir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 se le avisa cuando ya está hecho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la técnica:</w:t>
      </w:r>
      <w:r>
        <w:t xml:space="preserve"> </w:t>
      </w:r>
      <w:r>
        <w:t xml:space="preserve">cada actividad debe tener exactamente una</w:t>
      </w:r>
      <w:r>
        <w:t xml:space="preserve"> </w:t>
      </w:r>
      <w:r>
        <w:rPr>
          <w:bCs/>
          <w:b/>
        </w:rPr>
        <w:t xml:space="preserve">A</w:t>
      </w:r>
      <w:r>
        <w:t xml:space="preserve">. Si nadie responde por algo, o si dos personas creen que son las responsables finales, la matriz está mal hecha.</w:t>
      </w:r>
    </w:p>
    <w:bookmarkEnd w:id="23"/>
    <w:bookmarkStart w:id="24" w:name="los-cuatro-roles-en-nuestro-equipo"/>
    <w:p>
      <w:pPr>
        <w:pStyle w:val="Heading2"/>
      </w:pPr>
      <w:r>
        <w:t xml:space="preserve">1.2 Los cuatro roles en nuestro equipo</w:t>
      </w:r>
    </w:p>
    <w:p>
      <w:pPr>
        <w:pStyle w:val="FirstParagraph"/>
      </w:pPr>
      <w:r>
        <w:t xml:space="preserve">Somos tres integrantes cubriendo cuatro roles, igual que ya lo documentamos en el Hito 1 (sección 2.7). Aquí se formaliza cuál rol corresponde a cuál actividad.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asume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</w:t>
            </w:r>
            <w:r>
              <w:t xml:space="preserve"> </w:t>
            </w:r>
            <w:r>
              <w:t xml:space="preserve">(Product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qué debe hacer el sistema y qué se considera 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Arreaga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</w:t>
            </w:r>
            <w:r>
              <w:t xml:space="preserve"> </w:t>
            </w:r>
            <w:r>
              <w:t xml:space="preserve">(Desarrollador)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 el código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tres, según la historia asignada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</w:t>
            </w:r>
            <w:r>
              <w:t xml:space="preserve"> </w:t>
            </w:r>
            <w:r>
              <w:t xml:space="preserve">(Aseguramiento de Calidad)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 y ejecuta las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Juan Carlos Vásquez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Mantiene el pipeline y el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Arreaga</w:t>
            </w:r>
          </w:p>
        </w:tc>
      </w:tr>
    </w:tbl>
    <w:bookmarkEnd w:id="24"/>
    <w:bookmarkStart w:id="25" w:name="la-matriz"/>
    <w:p>
      <w:pPr>
        <w:pStyle w:val="Heading2"/>
      </w:pPr>
      <w:r>
        <w:t xml:space="preserve">1.3 La matriz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Definir historias de usuario y reglas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Escribir el código de las pantallas y la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Diseñar los casos de prueba (RTM)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Escribir y ejecutar 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Escribir y ejecutar pruebas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y mantener el pipeline (QA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y aprobar 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y dar seguimiento a defectos (Kanban)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el sitio (GitHub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Defensa técnica en 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leerlo: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Revisar y aprobar Pull Requests</w:t>
      </w:r>
      <w:r>
        <w:t xml:space="preserve">”</w:t>
      </w:r>
      <w:r>
        <w:t xml:space="preserve">, QA es quien aprueba (A) y Dev es quien hace el cambio que se revisa (R) — esto refleja la regla que ya tenían escrita desde el Hito 1: nadie aprueba su propio código.</w:t>
      </w:r>
    </w:p>
    <w:bookmarkEnd w:id="25"/>
    <w:bookmarkStart w:id="26" w:name="por-qué-esta-repartición-y-no-otra"/>
    <w:p>
      <w:pPr>
        <w:pStyle w:val="Heading2"/>
      </w:pPr>
      <w:r>
        <w:t xml:space="preserve">1.4 Por qué esta repartición y no otra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PO</w:t>
      </w:r>
      <w:r>
        <w:t xml:space="preserve"> </w:t>
      </w:r>
      <w:r>
        <w:t xml:space="preserve">concentra las decisiones de alcance porque alguien tiene que responder cuándo algo</w:t>
      </w:r>
      <w:r>
        <w:t xml:space="preserve"> </w:t>
      </w:r>
      <w:r>
        <w:t xml:space="preserve">“</w:t>
      </w:r>
      <w:r>
        <w:t xml:space="preserve">cuenta</w:t>
      </w:r>
      <w:r>
        <w:t xml:space="preserve">”</w:t>
      </w:r>
      <w:r>
        <w:t xml:space="preserve"> </w:t>
      </w:r>
      <w:r>
        <w:t xml:space="preserve">como terminado; se lo dimos a quien administra el repositorio, porque ya tomaba esas decisiones de facto.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QA</w:t>
      </w:r>
      <w:r>
        <w:t xml:space="preserve"> </w:t>
      </w:r>
      <w:r>
        <w:t xml:space="preserve">aprueba el trabajo de Dev, nunca al revés — así se mantiene la separación que exige la sección 5.1 del Máster Test Plan.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DevOps</w:t>
      </w:r>
      <w:r>
        <w:t xml:space="preserve"> </w:t>
      </w:r>
      <w:r>
        <w:t xml:space="preserve">es responsable único del pipeline y el despliegue, porque son piezas técnicas que necesitan un dueño claro para no romperse por descuido de varios.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Xdad733897f46a98d4616f95a3e3d0e369a57802"/>
    <w:p>
      <w:pPr>
        <w:pStyle w:val="Heading1"/>
      </w:pPr>
      <w:r>
        <w:t xml:space="preserve">2. Especificación de Requisitos No Funcionales (NFR)</w:t>
      </w:r>
    </w:p>
    <w:bookmarkStart w:id="28" w:name="por-qué-esto-no-es-opcional"/>
    <w:p>
      <w:pPr>
        <w:pStyle w:val="Heading2"/>
      </w:pPr>
      <w:r>
        <w:t xml:space="preserve">2.1 Por qué esto no es opcional</w:t>
      </w:r>
    </w:p>
    <w:p>
      <w:pPr>
        <w:pStyle w:val="FirstParagraph"/>
      </w:pPr>
      <w:r>
        <w:t xml:space="preserve">Un requisito funcional dice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hace el sistema (</w:t>
      </w:r>
      <w:r>
        <w:t xml:space="preserve">“</w:t>
      </w:r>
      <w:r>
        <w:t xml:space="preserve">la consejera puede agregar un producto</w:t>
      </w:r>
      <w:r>
        <w:t xml:space="preserve">”</w:t>
      </w:r>
      <w:r>
        <w:t xml:space="preserve">). Un requisito no funcional dice</w:t>
      </w:r>
      <w:r>
        <w:t xml:space="preserve"> </w:t>
      </w:r>
      <w:r>
        <w:rPr>
          <w:bCs/>
          <w:b/>
        </w:rPr>
        <w:t xml:space="preserve">qué tan bien</w:t>
      </w:r>
      <w:r>
        <w:t xml:space="preserve"> </w:t>
      </w:r>
      <w:r>
        <w:t xml:space="preserve">lo hace, y tiene que ser medible con un número, no con un adjetivo.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Mal (adjetivo ambiguo)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(medible)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catálogo debe cargar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catálogo debe mostrarse en 2 segundos o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sistema debe ser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100% de las entradas maliciosas probadas deben ser rechazadas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interfaz debe ser bonita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(esto no es un NFR verificable; se excluye)</w:t>
            </w:r>
          </w:p>
        </w:tc>
      </w:tr>
    </w:tbl>
    <w:p>
      <w:pPr>
        <w:pStyle w:val="BodyText"/>
      </w:pPr>
      <w:r>
        <w:t xml:space="preserve">Un NFR sin número no se puede probar, y si no se puede probar, no sirve para este curso.</w:t>
      </w:r>
    </w:p>
    <w:bookmarkEnd w:id="28"/>
    <w:bookmarkStart w:id="35" w:name="los-seis-nfr-del-proyecto"/>
    <w:p>
      <w:pPr>
        <w:pStyle w:val="Heading2"/>
      </w:pPr>
      <w:r>
        <w:t xml:space="preserve">2.2 Los seis NFR del proyecto</w:t>
      </w:r>
    </w:p>
    <w:p>
      <w:pPr>
        <w:pStyle w:val="FirstParagraph"/>
      </w:pPr>
      <w:r>
        <w:t xml:space="preserve">Clasificados según las características de calidad de</w:t>
      </w:r>
      <w:r>
        <w:t xml:space="preserve"> </w:t>
      </w:r>
      <w:r>
        <w:rPr>
          <w:bCs/>
          <w:b/>
        </w:rPr>
        <w:t xml:space="preserve">ISO/IEC 25010</w:t>
      </w:r>
      <w:r>
        <w:t xml:space="preserve">.</w:t>
      </w:r>
    </w:p>
    <w:bookmarkStart w:id="29" w:name="nfr-01-eficiencia-de-desempeño"/>
    <w:p>
      <w:pPr>
        <w:pStyle w:val="Heading3"/>
      </w:pPr>
      <w:r>
        <w:t xml:space="preserve">NFR-01 · Eficiencia de desempeño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catálogo de productos debe mostrarse completo en 2 segundos o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desarrollador del navegador (pestaña</w:t>
            </w:r>
            <w:r>
              <w:t xml:space="preserve"> </w:t>
            </w:r>
            <w:r>
              <w:rPr>
                <w:iCs/>
                <w:i/>
              </w:rPr>
              <w:t xml:space="preserve">Network</w:t>
            </w:r>
            <w:r>
              <w:t xml:space="preserve">), midiendo desde la carga de</w:t>
            </w:r>
            <w:r>
              <w:t xml:space="preserve"> </w:t>
            </w:r>
            <w:r>
              <w:rPr>
                <w:rStyle w:val="VerbatimChar"/>
              </w:rPr>
              <w:t xml:space="preserve">catalogo.html</w:t>
            </w:r>
            <w:r>
              <w:t xml:space="preserve"> </w:t>
            </w:r>
            <w:r>
              <w:t xml:space="preserve">hasta que se pintan los 8 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2000 ms, en una conexión de banda ancha normal</w:t>
            </w:r>
          </w:p>
        </w:tc>
      </w:tr>
    </w:tbl>
    <w:bookmarkEnd w:id="29"/>
    <w:bookmarkStart w:id="30" w:name="nfr-02-usabilidad"/>
    <w:p>
      <w:pPr>
        <w:pStyle w:val="Heading3"/>
      </w:pPr>
      <w:r>
        <w:t xml:space="preserve">NFR-02 · Usabilidad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consejera que usa el sistema por primera vez debe poder completar el flujo completo (iniciar sesión → agregar un producto → enviar el pedido) en 5 minutos o menos, sin ayuda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con un usuario que no participó en el desarrollo, cronometrado desde que abre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  <w:r>
              <w:t xml:space="preserve"> </w:t>
            </w:r>
            <w:r>
              <w:t xml:space="preserve">hasta que ve el número de confirmación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minutos, con un máximo de 1 error de manejo</w:t>
            </w:r>
          </w:p>
        </w:tc>
      </w:tr>
    </w:tbl>
    <w:bookmarkEnd w:id="30"/>
    <w:bookmarkStart w:id="31" w:name="nfr-03-fiabilidad"/>
    <w:p>
      <w:pPr>
        <w:pStyle w:val="Heading3"/>
      </w:pPr>
      <w:r>
        <w:t xml:space="preserve">NFR-03 · Fiabilidad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pedido debe perderse ni duplicarse al enviarse, incluso ante un doble clic accidental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integración INT-03 (ver sección 3) y caso manual CP-18 de la matriz de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pedidos perdidos y 0 duplicados en 20 intentos consecutivos</w:t>
            </w:r>
          </w:p>
        </w:tc>
      </w:tr>
    </w:tbl>
    <w:bookmarkEnd w:id="31"/>
    <w:bookmarkStart w:id="32" w:name="Xa9c296e0081f4433fa9564330060e8fdb16e009"/>
    <w:p>
      <w:pPr>
        <w:pStyle w:val="Heading3"/>
      </w:pPr>
      <w:r>
        <w:t xml:space="preserve">NFR-04 · Seguridad (dentro del alcance sin servidor)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campo de texto debe rechazar o neutralizar intentos de inyección de código (XSS) sin que se ejecute ningún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en los campos de búsqueda y cantidad textos como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y verificar que se muestren como texto plano, nunca ejecutados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intentos probados quedan neutralizados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Limitación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cubre autenticación real, porque el login es simulado (ver Documento SQA, sección 3.4)</w:t>
            </w:r>
          </w:p>
        </w:tc>
      </w:tr>
    </w:tbl>
    <w:bookmarkEnd w:id="32"/>
    <w:bookmarkStart w:id="33" w:name="nfr-05-mantenibilidad"/>
    <w:p>
      <w:pPr>
        <w:pStyle w:val="Heading3"/>
      </w:pPr>
      <w:r>
        <w:t xml:space="preserve">NFR-05 · Mantenibilidad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función del código debe superar una complejidad ciclomática de 10 ni 50 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Automáticamente, con las reglas</w:t>
            </w:r>
            <w:r>
              <w:t xml:space="preserve"> </w:t>
            </w:r>
            <w:r>
              <w:rPr>
                <w:rStyle w:val="VerbatimChar"/>
              </w:rPr>
              <w:t xml:space="preserve">complexity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max-lines-per-function</w:t>
            </w:r>
            <w:r>
              <w:t xml:space="preserve"> </w:t>
            </w:r>
            <w:r>
              <w:t xml:space="preserve">de ESLint, en cada ejecución del QA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funciones que excedan el límite; si una lo excede, el QA Gate falla y bloquea la integración</w:t>
            </w:r>
          </w:p>
        </w:tc>
      </w:tr>
    </w:tbl>
    <w:bookmarkEnd w:id="33"/>
    <w:bookmarkStart w:id="34" w:name="nfr-06-compatibilidad"/>
    <w:p>
      <w:pPr>
        <w:pStyle w:val="Heading3"/>
      </w:pPr>
      <w:r>
        <w:t xml:space="preserve">NFR-06 · Compatibilidad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sitio debe verse y funcionar sin errores visuales en las versiones actuales de Chrome, Firefox y Edge, en pantalla de escritorio (1920×1080) y de celular (390×844)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 se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manual abriendo el sitio publicado en cada navegador y cada resolución, siguiendo la sección 5.9 del Máster Test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Umbral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errores visuales o funcionales en las 6 combinaciones (3 navegadores × 2 resoluciones)</w:t>
            </w:r>
          </w:p>
        </w:tc>
      </w:tr>
    </w:tbl>
    <w:bookmarkEnd w:id="34"/>
    <w:bookmarkEnd w:id="35"/>
    <w:bookmarkStart w:id="36" w:name="resumen-de-trazabilidad"/>
    <w:p>
      <w:pPr>
        <w:pStyle w:val="Heading2"/>
      </w:pPr>
      <w:r>
        <w:t xml:space="preserve">2.3 Resumen de trazabilidad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ISO 25010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Eficiencia de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manual con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con usuario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INT-03, CP-18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manual con entradas maliciosas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ESLint, automático en el QA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compatibilidad (Test Plan 5.9)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X7852fecb55819d5c4260099b6a6d6c5389fe48f"/>
    <w:p>
      <w:pPr>
        <w:pStyle w:val="Heading1"/>
      </w:pPr>
      <w:r>
        <w:t xml:space="preserve">3. Plan Inicial de Pruebas: Unitarias e Integración</w:t>
      </w:r>
    </w:p>
    <w:bookmarkStart w:id="38" w:name="qué-cambia-respecto-al-hito-1"/>
    <w:p>
      <w:pPr>
        <w:pStyle w:val="Heading2"/>
      </w:pPr>
      <w:r>
        <w:t xml:space="preserve">3.1 Qué cambia respecto al Hito 1</w:t>
      </w:r>
    </w:p>
    <w:p>
      <w:pPr>
        <w:pStyle w:val="FirstParagraph"/>
      </w:pPr>
      <w:r>
        <w:t xml:space="preserve">En el Hito 1 ya teníamos</w:t>
      </w:r>
      <w:r>
        <w:t xml:space="preserve"> </w:t>
      </w:r>
      <w:r>
        <w:rPr>
          <w:bCs/>
          <w:b/>
        </w:rPr>
        <w:t xml:space="preserve">pruebas unitarias</w:t>
      </w:r>
      <w:r>
        <w:t xml:space="preserve">: prueban una función sola, aislada de las demás. Este hito agrega</w:t>
      </w:r>
      <w:r>
        <w:t xml:space="preserve"> </w:t>
      </w:r>
      <w:r>
        <w:rPr>
          <w:bCs/>
          <w:b/>
        </w:rPr>
        <w:t xml:space="preserve">pruebas de integración</w:t>
      </w:r>
      <w:r>
        <w:t xml:space="preserve">: prueban que varias funciones de distintos archivos trabajan bien en conjunto, siguiendo un flujo completo.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función aislada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tests/pedido.test.js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módulos combinados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tests/integracion/flujo-pedido.test.js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automatizado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Corren juntas con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</w:tr>
    </w:tbl>
    <w:bookmarkEnd w:id="38"/>
    <w:bookmarkStart w:id="39" w:name="componentes-de-alto-riesgo-que-se-cubren"/>
    <w:p>
      <w:pPr>
        <w:pStyle w:val="Heading2"/>
      </w:pPr>
      <w:r>
        <w:t xml:space="preserve">3.2 Componentes de alto riesgo que se cubren</w:t>
      </w:r>
    </w:p>
    <w:p>
      <w:pPr>
        <w:pStyle w:val="FirstParagraph"/>
      </w:pPr>
      <w:r>
        <w:t xml:space="preserve">Se priorizaron según el registro de riesgos del Máster Test Plan (sección 4).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integración que lo mitiga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envía un pedido sin llegar al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INT-01, INT-05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pedido se duplica al enviarse dos 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accede sin sesión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RN-03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agrega un producto agotado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</w:tr>
    </w:tbl>
    <w:bookmarkEnd w:id="39"/>
    <w:bookmarkStart w:id="40" w:name="las-cinco-pruebas-de-integración"/>
    <w:p>
      <w:pPr>
        <w:pStyle w:val="Heading2"/>
      </w:pPr>
      <w:r>
        <w:t xml:space="preserve">3.3 Las cinco pruebas de integración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que combina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 un pedido válido de principio a fin: valida disponibilidad, valida cantidad, calcula el total, confirma que puede enviarse y lo registra en el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sesion.js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un producto agotado nunca llega a sumarse al total del 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que, tras un envío exitoso, el pedido vacío ya no puede reenviarse y el historial queda con exactamente un 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sesion.js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que un pedido válido en sus montos igual se bloquea si no hay sesión activa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el total guardado en el historial coincide exactamente con el calculado, incluso con decimales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sesion.js</w:t>
            </w:r>
          </w:p>
        </w:tc>
      </w:tr>
    </w:tbl>
    <w:bookmarkEnd w:id="40"/>
    <w:bookmarkStart w:id="41" w:name="por-qué-estas-cinco-y-no-otras"/>
    <w:p>
      <w:pPr>
        <w:pStyle w:val="Heading2"/>
      </w:pPr>
      <w:r>
        <w:t xml:space="preserve">3.4 Por qué estas cinco y no otras</w:t>
      </w:r>
    </w:p>
    <w:p>
      <w:pPr>
        <w:pStyle w:val="FirstParagraph"/>
      </w:pPr>
      <w:r>
        <w:t xml:space="preserve">Se eligieron las combinaciones donde un error en la</w:t>
      </w:r>
      <w:r>
        <w:t xml:space="preserve"> </w:t>
      </w:r>
      <w:r>
        <w:rPr>
          <w:bCs/>
          <w:b/>
        </w:rPr>
        <w:t xml:space="preserve">interacción</w:t>
      </w:r>
      <w:r>
        <w:t xml:space="preserve"> </w:t>
      </w:r>
      <w:r>
        <w:t xml:space="preserve">entre módulos sería más grave que un error en una función aislada. Por ejemplo, INT-03 no prueba si</w:t>
      </w:r>
      <w:r>
        <w:t xml:space="preserve"> </w:t>
      </w:r>
      <w:r>
        <w:rPr>
          <w:rStyle w:val="VerbatimChar"/>
        </w:rPr>
        <w:t xml:space="preserve">calcularTotal()</w:t>
      </w:r>
      <w:r>
        <w:t xml:space="preserve"> </w:t>
      </w:r>
      <w:r>
        <w:t xml:space="preserve">funciona bien —eso ya lo prueba una unitaria—, prueba si el</w:t>
      </w:r>
      <w:r>
        <w:t xml:space="preserve"> </w:t>
      </w:r>
      <w:r>
        <w:rPr>
          <w:bCs/>
          <w:b/>
        </w:rPr>
        <w:t xml:space="preserve">flujo completo</w:t>
      </w:r>
      <w:r>
        <w:t xml:space="preserve"> </w:t>
      </w:r>
      <w:r>
        <w:t xml:space="preserve">de enviar y luego intentar reenviar se comporta como debe. Ahí es donde aparecen los defectos que las pruebas unitarias no pueden ver, como el defecto real que encontramos en el Hito 3 (los pedidos no se conservaban al reiniciar).</w:t>
      </w:r>
    </w:p>
    <w:bookmarkEnd w:id="41"/>
    <w:bookmarkStart w:id="42" w:name="cómo-se-ejecutan"/>
    <w:p>
      <w:pPr>
        <w:pStyle w:val="Heading2"/>
      </w:pPr>
      <w:r>
        <w:t xml:space="preserve">3.5 Cómo se ejecutan</w:t>
      </w:r>
    </w:p>
    <w:p>
      <w:pPr>
        <w:pStyle w:val="FirstParagraph"/>
      </w:pPr>
      <w:r>
        <w:t xml:space="preserve">Igual que las unitarias, forman parte del mismo comando:</w:t>
      </w:r>
    </w:p>
    <w:p>
      <w:pPr>
        <w:pStyle w:val="SourceCode"/>
      </w:pPr>
      <w:r>
        <w:rPr>
          <w:rStyle w:val="VerbatimChar"/>
        </w:rPr>
        <w:t xml:space="preserve">npm test</w:t>
      </w:r>
    </w:p>
    <w:p>
      <w:pPr>
        <w:pStyle w:val="FirstParagraph"/>
      </w:pPr>
      <w:r>
        <w:t xml:space="preserve">Y corren automáticamente en el QA Gate en cada Pull Request, sin configuración adicional — el pipeline ya estaba preparado para descubrir cualquier archivo</w:t>
      </w:r>
      <w:r>
        <w:t xml:space="preserve"> </w:t>
      </w:r>
      <w:r>
        <w:rPr>
          <w:rStyle w:val="VerbatimChar"/>
        </w:rPr>
        <w:t xml:space="preserve">*.test.js</w:t>
      </w:r>
      <w:r>
        <w:t xml:space="preserve"> </w:t>
      </w:r>
      <w:r>
        <w:t xml:space="preserve">en cualquier carpeta.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d06d2b38c07cf1ff000befe568b522b54a98c89"/>
    <w:p>
      <w:pPr>
        <w:pStyle w:val="Heading1"/>
      </w:pPr>
      <w:r>
        <w:t xml:space="preserve">4. Respuesta al checklist de auditoría de clase</w:t>
      </w:r>
    </w:p>
    <w:bookmarkStart w:id="44" w:name="Xe11f612ecf8048526d5696523b5fb645bf5e569"/>
    <w:p>
      <w:pPr>
        <w:pStyle w:val="Heading3"/>
      </w:pPr>
      <w:r>
        <w:t xml:space="preserve">✅ Definición inequívoca de criterios de aceptación</w:t>
      </w:r>
    </w:p>
    <w:p>
      <w:pPr>
        <w:pStyle w:val="FirstParagraph"/>
      </w:pPr>
      <w:r>
        <w:t xml:space="preserve">Los 5 criterios de aceptación BDD del Hito 3 (</w:t>
      </w:r>
      <w:r>
        <w:rPr>
          <w:rStyle w:val="VerbatimChar"/>
        </w:rPr>
        <w:t xml:space="preserve">tests/aceptacion/pedido.feature</w:t>
      </w:r>
      <w:r>
        <w:t xml:space="preserve">) ya están escritos en formato Dado/Cuando/Entonces, con valores concretos (Q400.00, Q399.99, cantidad 100), no con descripciones vagas.</w:t>
      </w:r>
    </w:p>
    <w:bookmarkEnd w:id="44"/>
    <w:bookmarkStart w:id="45" w:name="eliminación-de-adjetivos-ambiguos"/>
    <w:p>
      <w:pPr>
        <w:pStyle w:val="Heading3"/>
      </w:pPr>
      <w:r>
        <w:t xml:space="preserve">✅ Eliminación de adjetivos ambiguos</w:t>
      </w:r>
    </w:p>
    <w:p>
      <w:pPr>
        <w:pStyle w:val="FirstParagraph"/>
      </w:pPr>
      <w:r>
        <w:t xml:space="preserve">La sección 2 de este documento reemplaza cualquier lenguaje de</w:t>
      </w:r>
      <w:r>
        <w:t xml:space="preserve"> </w:t>
      </w:r>
      <w:r>
        <w:t xml:space="preserve">“</w:t>
      </w:r>
      <w:r>
        <w:t xml:space="preserve">rápido/bonito/seguro</w:t>
      </w:r>
      <w:r>
        <w:t xml:space="preserve">”</w:t>
      </w:r>
      <w:r>
        <w:t xml:space="preserve"> </w:t>
      </w:r>
      <w:r>
        <w:t xml:space="preserve">por umbrales medibles en segundos, porcentajes y conteos.</w:t>
      </w:r>
    </w:p>
    <w:bookmarkEnd w:id="45"/>
    <w:bookmarkStart w:id="46" w:name="X73a6302dc83770cb951507ddfdf168d0d90576e"/>
    <w:p>
      <w:pPr>
        <w:pStyle w:val="Heading3"/>
      </w:pPr>
      <w:r>
        <w:t xml:space="preserve">✅ Configuración del pipeline de CI/CD para pruebas automáticas</w:t>
      </w:r>
    </w:p>
    <w:p>
      <w:pPr>
        <w:pStyle w:val="FirstParagraph"/>
      </w:pPr>
      <w:r>
        <w:t xml:space="preserve">Ya configurado desde el Hito 1 en</w:t>
      </w:r>
      <w:r>
        <w:t xml:space="preserve"> </w:t>
      </w:r>
      <w:r>
        <w:rPr>
          <w:rStyle w:val="VerbatimChar"/>
        </w:rPr>
        <w:t xml:space="preserve">.github/workflows/qa-gate.yml</w:t>
      </w:r>
      <w:r>
        <w:t xml:space="preserve">, verificado y corregido en la práctica: la primera ejecución falló por una incompatibilidad de versión de Node, se corrigió, y desde entonces corre en verde. Con este hito, el pipeline ahora ejecuta 17 pruebas automáticas en vez de 12.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del Hito de Integración SQA. Los datos de negocio utilizados son ficticios y con fines académicos.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2026-09-03T03:50:15Z</dcterms:created>
  <dcterms:modified xsi:type="dcterms:W3CDTF">2026-09-03T03:50:15Z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Contenido</vt:lpwstr>
  </property>
</Properties>
</file>