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6"/>
        </w:rPr>
        <w:t>Condominium Unit Rental Contract</w:t>
      </w:r>
    </w:p>
    <w:p>
      <w:pPr>
        <w:jc w:val="both"/>
      </w:pPr>
      <w:r>
        <w:rPr>
          <w:rFonts w:ascii="Arial" w:hAnsi="Arial"/>
          <w:sz w:val="16"/>
        </w:rPr>
        <w:br/>
        <w:t xml:space="preserve">      This Condominium Unit Rental Contract ("Contract") is made on ________</w:t>
        <w:br/>
        <w:t xml:space="preserve">      by and among Owner/Lessor ________________________________, Property Representative</w:t>
        <w:br/>
        <w:t xml:space="preserve">      ________________________________, and Renter/Tenant ________________________________.</w:t>
        <w:br/>
        <w:t xml:space="preserve">      The parties agree to the following terms for the residential lease of the condominium unit described below.</w:t>
        <w:br/>
        <w:t xml:space="preserve">    </w:t>
      </w:r>
    </w:p>
    <w:tbl>
      <w:tblPr>
        <w:tblStyle w:val="TableGrid"/>
        <w:tblW w:type="auto" w:w="0"/>
        <w:jc w:val="center"/>
        <w:tblLook w:firstColumn="1" w:firstRow="1" w:lastColumn="0" w:lastRow="0" w:noHBand="0" w:noVBand="1" w:val="04A0"/>
      </w:tblPr>
      <w:tblGrid>
        <w:gridCol w:w="2833"/>
        <w:gridCol w:w="2833"/>
        <w:gridCol w:w="2833"/>
        <w:gridCol w:w="2833"/>
      </w:tblGrid>
      <w:tr>
        <w:tc>
          <w:tcPr>
            <w:tcW w:type="dxa" w:w="2833"/>
          </w:tcPr>
          <w:p>
            <w:r/>
            <w:r>
              <w:rPr>
                <w:rFonts w:ascii="Arial" w:hAnsi="Arial"/>
                <w:sz w:val="14"/>
              </w:rPr>
              <w:t>Condominium / Project</w:t>
            </w:r>
          </w:p>
        </w:tc>
        <w:tc>
          <w:tcPr>
            <w:tcW w:type="dxa" w:w="2833"/>
          </w:tcPr>
          <w:p>
            <w:r/>
            <w:r>
              <w:rPr>
                <w:rFonts w:ascii="Arial" w:hAnsi="Arial"/>
                <w:sz w:val="14"/>
              </w:rPr>
              <w:t>________________________________</w:t>
            </w:r>
          </w:p>
        </w:tc>
        <w:tc>
          <w:tcPr>
            <w:tcW w:type="dxa" w:w="2833"/>
          </w:tcPr>
          <w:p>
            <w:r/>
            <w:r>
              <w:rPr>
                <w:rFonts w:ascii="Arial" w:hAnsi="Arial"/>
                <w:sz w:val="14"/>
              </w:rPr>
              <w:t>Unit / Tower / Floor</w:t>
            </w:r>
          </w:p>
        </w:tc>
        <w:tc>
          <w:tcPr>
            <w:tcW w:type="dxa" w:w="2833"/>
          </w:tcPr>
          <w:p>
            <w:r/>
            <w:r>
              <w:rPr>
                <w:rFonts w:ascii="Arial" w:hAnsi="Arial"/>
                <w:sz w:val="14"/>
              </w:rPr>
              <w:t>________________</w:t>
            </w:r>
          </w:p>
        </w:tc>
      </w:tr>
      <w:tr>
        <w:tc>
          <w:tcPr>
            <w:tcW w:type="dxa" w:w="2833"/>
          </w:tcPr>
          <w:p>
            <w:r/>
            <w:r>
              <w:rPr>
                <w:rFonts w:ascii="Arial" w:hAnsi="Arial"/>
                <w:sz w:val="14"/>
              </w:rPr>
              <w:t>Complete Address</w:t>
            </w:r>
          </w:p>
        </w:tc>
        <w:tc>
          <w:tcPr>
            <w:tcW w:type="dxa" w:w="2833"/>
          </w:tcPr>
          <w:p>
            <w:r/>
            <w:r>
              <w:rPr>
                <w:rFonts w:ascii="Arial" w:hAnsi="Arial"/>
                <w:sz w:val="14"/>
              </w:rPr>
              <w:t>________________</w:t>
            </w:r>
          </w:p>
        </w:tc>
        <w:tc>
          <w:tcPr>
            <w:tcW w:type="dxa" w:w="2833"/>
          </w:tcPr>
          <w:p/>
        </w:tc>
        <w:tc>
          <w:tcPr>
            <w:tcW w:type="dxa" w:w="2833"/>
          </w:tcPr>
          <w:p/>
        </w:tc>
      </w:tr>
      <w:tr>
        <w:tc>
          <w:tcPr>
            <w:tcW w:type="dxa" w:w="2833"/>
          </w:tcPr>
          <w:p>
            <w:r/>
            <w:r>
              <w:rPr>
                <w:rFonts w:ascii="Arial" w:hAnsi="Arial"/>
                <w:sz w:val="14"/>
              </w:rPr>
              <w:t>Lease Term</w:t>
            </w:r>
          </w:p>
        </w:tc>
        <w:tc>
          <w:tcPr>
            <w:tcW w:type="dxa" w:w="2833"/>
          </w:tcPr>
          <w:p>
            <w:r/>
            <w:r>
              <w:rPr>
                <w:rFonts w:ascii="Arial" w:hAnsi="Arial"/>
                <w:sz w:val="14"/>
              </w:rPr>
              <w:t>________________</w:t>
            </w:r>
          </w:p>
        </w:tc>
        <w:tc>
          <w:tcPr>
            <w:tcW w:type="dxa" w:w="2833"/>
          </w:tcPr>
          <w:p>
            <w:r/>
            <w:r>
              <w:rPr>
                <w:rFonts w:ascii="Arial" w:hAnsi="Arial"/>
                <w:sz w:val="14"/>
              </w:rPr>
              <w:t>Monthly Rent</w:t>
            </w:r>
          </w:p>
        </w:tc>
        <w:tc>
          <w:tcPr>
            <w:tcW w:type="dxa" w:w="2833"/>
          </w:tcPr>
          <w:p>
            <w:r/>
            <w:r>
              <w:rPr>
                <w:rFonts w:ascii="Arial" w:hAnsi="Arial"/>
                <w:sz w:val="14"/>
              </w:rPr>
              <w:t>________________</w:t>
            </w:r>
          </w:p>
        </w:tc>
      </w:tr>
      <w:tr>
        <w:tc>
          <w:tcPr>
            <w:tcW w:type="dxa" w:w="2833"/>
          </w:tcPr>
          <w:p>
            <w:r/>
            <w:r>
              <w:rPr>
                <w:rFonts w:ascii="Arial" w:hAnsi="Arial"/>
                <w:sz w:val="14"/>
              </w:rPr>
              <w:t>Due Date / Mode</w:t>
            </w:r>
          </w:p>
        </w:tc>
        <w:tc>
          <w:tcPr>
            <w:tcW w:type="dxa" w:w="2833"/>
          </w:tcPr>
          <w:p>
            <w:r/>
            <w:r>
              <w:rPr>
                <w:rFonts w:ascii="Arial" w:hAnsi="Arial"/>
                <w:sz w:val="14"/>
              </w:rPr>
              <w:t>________________________________</w:t>
            </w:r>
          </w:p>
        </w:tc>
        <w:tc>
          <w:tcPr>
            <w:tcW w:type="dxa" w:w="2833"/>
          </w:tcPr>
          <w:p>
            <w:r/>
            <w:r>
              <w:rPr>
                <w:rFonts w:ascii="Arial" w:hAnsi="Arial"/>
                <w:sz w:val="14"/>
              </w:rPr>
              <w:t>Deposit / Advance</w:t>
            </w:r>
          </w:p>
        </w:tc>
        <w:tc>
          <w:tcPr>
            <w:tcW w:type="dxa" w:w="2833"/>
          </w:tcPr>
          <w:p>
            <w:r/>
            <w:r>
              <w:rPr>
                <w:rFonts w:ascii="Arial" w:hAnsi="Arial"/>
                <w:sz w:val="14"/>
              </w:rPr>
              <w:t>________________</w:t>
            </w:r>
          </w:p>
        </w:tc>
      </w:tr>
      <w:tr>
        <w:tc>
          <w:tcPr>
            <w:tcW w:type="dxa" w:w="2833"/>
          </w:tcPr>
          <w:p>
            <w:r/>
            <w:r>
              <w:rPr>
                <w:rFonts w:ascii="Arial" w:hAnsi="Arial"/>
                <w:sz w:val="14"/>
              </w:rPr>
              <w:t>Included Items</w:t>
            </w:r>
          </w:p>
        </w:tc>
        <w:tc>
          <w:tcPr>
            <w:tcW w:type="dxa" w:w="2833"/>
          </w:tcPr>
          <w:p>
            <w:r/>
            <w:r>
              <w:rPr>
                <w:rFonts w:ascii="Arial" w:hAnsi="Arial"/>
                <w:sz w:val="14"/>
              </w:rPr>
              <w:t>Keys/access cards: ________ Parking slot, if any: ________ Furnishings/inclusions: ________________________________</w:t>
            </w:r>
          </w:p>
        </w:tc>
        <w:tc>
          <w:tcPr>
            <w:tcW w:type="dxa" w:w="2833"/>
          </w:tcPr>
          <w:p/>
        </w:tc>
        <w:tc>
          <w:tcPr>
            <w:tcW w:type="dxa" w:w="2833"/>
          </w:tcPr>
          <w:p/>
        </w:tc>
      </w:tr>
    </w:tbl>
    <w:p>
      <w:r>
        <w:rPr>
          <w:rFonts w:ascii="Arial" w:hAnsi="Arial"/>
          <w:b/>
          <w:sz w:val="17"/>
        </w:rPr>
        <w:t>TERMS AND CONDITIONS</w:t>
      </w:r>
    </w:p>
    <w:p>
      <w:pPr>
        <w:spacing w:after="16"/>
        <w:jc w:val="both"/>
      </w:pPr>
      <w:r>
        <w:rPr>
          <w:rFonts w:ascii="Arial" w:hAnsi="Arial"/>
          <w:sz w:val="16"/>
        </w:rPr>
        <w:t>Use of Premises. The unit shall be used only as a residential dwelling by the Tenant and members of their household. Furthermore, the Tenant can receive guests, family, and romantic partner(s). Subleasing, assignment, or commercial use are prohibited without the Owner/Lessor's prior written consent.</w:t>
      </w:r>
    </w:p>
    <w:p>
      <w:pPr>
        <w:spacing w:after="16"/>
        <w:jc w:val="both"/>
      </w:pPr>
      <w:r>
        <w:rPr>
          <w:rFonts w:ascii="Arial" w:hAnsi="Arial"/>
          <w:sz w:val="16"/>
        </w:rPr>
        <w:t>Rent and Charges. Rent shall be paid on or before the due date stated above. Unless otherwise written here, the Tenant shall pay utilities, internet/cable, move-in or move-out fees, penalties caused by the Tenant, and other consumption-based charges, except the following utility bill types to be paid by the Owner/Lessor: ________________________________.</w:t>
      </w:r>
    </w:p>
    <w:p>
      <w:pPr>
        <w:spacing w:after="16"/>
        <w:jc w:val="both"/>
      </w:pPr>
      <w:r>
        <w:rPr>
          <w:rFonts w:ascii="Arial" w:hAnsi="Arial"/>
          <w:sz w:val="16"/>
        </w:rPr>
        <w:t>Association Dues. Condominium association dues shall be paid by ________. The Tenant shall comply with all condominium rules, house rules, security procedures, and lawful notices of the condominium corporation or management office.</w:t>
      </w:r>
    </w:p>
    <w:p>
      <w:pPr>
        <w:spacing w:after="16"/>
        <w:jc w:val="both"/>
      </w:pPr>
      <w:r>
        <w:rPr>
          <w:rFonts w:ascii="Arial" w:hAnsi="Arial"/>
          <w:sz w:val="16"/>
        </w:rPr>
        <w:t>Deposit and Advance. Deposits secure unpaid rent, utilities, charges, missing items, and damage beyond ordinary wear and tear. The refundable balance, if any, shall be returned within ________ days after complete turnover, clearance, and settlement of bills.</w:t>
      </w:r>
    </w:p>
    <w:p>
      <w:pPr>
        <w:spacing w:after="16"/>
        <w:jc w:val="both"/>
      </w:pPr>
      <w:r>
        <w:rPr>
          <w:rFonts w:ascii="Arial" w:hAnsi="Arial"/>
          <w:sz w:val="16"/>
        </w:rPr>
        <w:t>Condition and Turnover. The Tenant accepts the unit in good tenantable condition, subject to a mutually signed and notarized written inventory or turnover checklist, which shall serve as the exclusive baseline for assessing the condition of the unit, fixtures, keys, access cards, and inclusions upon turnover. Upon termination, the Tenant shall return the unit, keys, access cards, fixtures, and inclusions in substantially the same condition, ordinary wear and tear excepted. Any reduction or forfeiture of the Security/Safety Deposit for damage, missing items, or unreturned keys or access cards shall be strictly limited to deviations demonstrable against the notarized checklist; the Owner/Lessor bears the burden of proving such deviation by reference thereto. Any deduction shall not exceed the reasonable and average market cost of equivalent repair or replacement, supported by documentary evidence. Receipts materially exceeding prevailing market pricing shall not, by themselves, justify a higher deduction. No deduction shall be based on unsubstantiated claims.</w:t>
      </w:r>
    </w:p>
    <w:p>
      <w:pPr>
        <w:spacing w:after="16"/>
        <w:jc w:val="both"/>
      </w:pPr>
      <w:r>
        <w:rPr>
          <w:rFonts w:ascii="Arial" w:hAnsi="Arial"/>
          <w:sz w:val="16"/>
        </w:rPr>
        <w:t>Repairs and Alterations. The Tenant shall promptly report damage or needed repairs. The Owner/Lessor shall make required repairs within a reasonable timeframe after notice from the Tenant, except that repairs caused by the Tenant, occupants, guests, misuse, negligence, or violation of rules shall be for the Tenant's account. The Tenant may, at the Tenant's expense, install their own door locks and easily reversible security measures; the Owner/Lessor shall have no automatic right to a key for any Tenant-installed lock. Upon termination of this Contract, the Tenant shall reverse all such installations and restore the unit to its original condition.</w:t>
      </w:r>
    </w:p>
    <w:p>
      <w:pPr>
        <w:spacing w:after="16"/>
        <w:jc w:val="both"/>
      </w:pPr>
      <w:r>
        <w:rPr>
          <w:rFonts w:ascii="Arial" w:hAnsi="Arial"/>
          <w:sz w:val="16"/>
        </w:rPr>
        <w:t>Access. The Owner/Lessor, Representative, condominium management, or authorized workers may enter the unit only after reasonable notice has been given in writing and acknowledged by the Tenant through written and signed receipt, for inspection, repairs, emergency, rule compliance, or showing the unit near the end of the lease. The Tenant must be physically present during such visits unless the Tenant gives prior signed written permission allowing entry while the Tenant is not home.</w:t>
      </w:r>
    </w:p>
    <w:p>
      <w:pPr>
        <w:spacing w:after="16"/>
        <w:jc w:val="both"/>
      </w:pPr>
      <w:r>
        <w:rPr>
          <w:rFonts w:ascii="Arial" w:hAnsi="Arial"/>
          <w:sz w:val="16"/>
        </w:rPr>
        <w:t>Default. (a) By Tenant. Failure to pay rent or charges, violation of this Contract or condominium rules, false information, or unlawful use shall constitute default by the Tenant. The Owner/Lessor may demand payment, cure, termination, damages, and recovery of possession as allowed by law. (b) By Owner/Lessor. Failure to make required repairs within a reasonable time after notice from the Tenant, unlawful entry in violation of the access provisions of this Contract, or other material breach of this Contract by the Owner/Lessor shall constitute default by the Owner/Lessor. In such event, the Tenant may demand cure, terminate this Contract, and seek damages and recovery of the Security/Safety Deposit as allowed by law.</w:t>
      </w:r>
    </w:p>
    <w:p>
      <w:pPr>
        <w:spacing w:after="16"/>
        <w:jc w:val="both"/>
      </w:pPr>
      <w:r>
        <w:rPr>
          <w:rFonts w:ascii="Arial" w:hAnsi="Arial"/>
          <w:sz w:val="16"/>
        </w:rPr>
        <w:t>Notices. Notices may be delivered personally, by email, messaging application, registered mail, or other written method acknowledged by the receiving party using the contact details supplied by the parties.</w:t>
      </w:r>
    </w:p>
    <w:p>
      <w:pPr>
        <w:spacing w:after="16"/>
        <w:jc w:val="both"/>
      </w:pPr>
      <w:r>
        <w:rPr>
          <w:rFonts w:ascii="Arial" w:hAnsi="Arial"/>
          <w:sz w:val="16"/>
        </w:rPr>
        <w:t>Entire Agreement. This Contract, together with any attachments of mutually signed and notarized inventory, house rules, receipts, or written addenda, contains the agreement of the parties and may be changed only by a written document, mutually signed and notarized, by the Tenant and Owner/Lessor.</w:t>
      </w:r>
    </w:p>
    <w:p>
      <w:pPr>
        <w:spacing w:after="16"/>
        <w:jc w:val="both"/>
      </w:pPr>
      <w:r>
        <w:rPr>
          <w:rFonts w:ascii="Arial" w:hAnsi="Arial"/>
          <w:sz w:val="16"/>
        </w:rPr>
        <w:t>Governing Law. This Contract shall be governed by the applicable laws and regulations of ________________. If any provision is invalid, the remaining provisions shall remain effective.</w:t>
      </w:r>
    </w:p>
    <w:p>
      <w:r>
        <w:rPr>
          <w:rFonts w:ascii="Arial" w:hAnsi="Arial"/>
          <w:b/>
          <w:sz w:val="17"/>
        </w:rPr>
        <w:t>TERMINATION</w:t>
      </w:r>
    </w:p>
    <w:p>
      <w:pPr>
        <w:spacing w:after="16"/>
        <w:jc w:val="both"/>
      </w:pPr>
      <w:r>
        <w:rPr>
          <w:rFonts w:ascii="Arial" w:hAnsi="Arial"/>
          <w:sz w:val="16"/>
        </w:rPr>
        <w:t>Termination and Renewal. The lease ends on the expiry date unless mutually renewed by the parties through the signing of a new contract. Early termination requires written agreement, except where termination is allowed by this Contract, law, or condominium rules. Holding over without a new signed contract does not create a renewal.</w:t>
      </w:r>
    </w:p>
    <w:p>
      <w:pPr>
        <w:spacing w:after="16"/>
        <w:jc w:val="both"/>
      </w:pPr>
      <w:r>
        <w:rPr>
          <w:rFonts w:ascii="Arial" w:hAnsi="Arial"/>
          <w:sz w:val="16"/>
        </w:rPr>
        <w:t>Early Termination by Tenant. (a) With Advance Notice. If the Tenant wishes to terminate this Contract before expiry, the Tenant shall give the Owner/Lessor at least one (1) month's advance written notice. The Tenant shall then pay only the single next upcoming rent-due payment—regardless of how near or far that due date falls from the notice date—and that payment shall entitle the Tenant to exactly one (1) month of final occupancy counted from the date of that final payment. The Tenant may apply the Security/Safety Deposit toward this final rent payment, subject to the inspection, condition-assessment, and deduction provisions of the Condition and Turnover clause of this Contract. (b) Without Advance Notice. If the Tenant terminates without providing the required advance notice—whether by announcing immediate departure or by having already vacated—the Tenant may do so without incurring civil liability; however, the full Security/Safety Deposit shall be automatically forfeited to the Owner/Lessor as liquidated compensation. In such case, the Tenant has no right to remain beyond the period already covered by the most recent rent payment and must vacate before the next rent-due date.</w:t>
      </w:r>
    </w:p>
    <w:p>
      <w:pPr>
        <w:spacing w:after="16"/>
        <w:jc w:val="both"/>
      </w:pPr>
      <w:r>
        <w:rPr>
          <w:rFonts w:ascii="Arial" w:hAnsi="Arial"/>
          <w:sz w:val="16"/>
        </w:rPr>
        <w:t>Outstanding Utilities upon Early Vacancy. Notwithstanding the foregoing, the Tenant shall incur civil liability for any unpaid utility bills that were the Tenant's responsibility under this Contract and are held under the unit or Owner/Lessor's account, if such bills remain outstanding at the time the Tenant vacates. (Bills under accounts in the Tenant's own name are between the Tenant and the utility provider). Such liability is automatically extinguished only if the Tenant's right to the Security/Safety Deposit remains intact under the applicable provisions above, and the deposit is sufficient to cover those outstanding bills in full—in which case the Owner/Lessor shall deduct the outstanding amounts from the deposit, and such deduction shall fully extinguish the Tenant's liability for those bills.</w:t>
      </w:r>
    </w:p>
    <w:p>
      <w:pPr>
        <w:jc w:val="both"/>
      </w:pPr>
      <w:r>
        <w:rPr>
          <w:rFonts w:ascii="Arial" w:hAnsi="Arial"/>
          <w:sz w:val="14"/>
        </w:rPr>
        <w:t>The parties confirm that they have read, understood, and voluntarily accepted this Contract. Any blanks left unfilled shall be treated as not applicable unless the parties clearly agree otherwise in writing.</w:t>
      </w:r>
    </w:p>
    <w:tbl>
      <w:tblPr>
        <w:tblStyle w:val="TableGrid"/>
        <w:tblW w:type="auto" w:w="0"/>
        <w:jc w:val="center"/>
        <w:tblLook w:firstColumn="1" w:firstRow="1" w:lastColumn="0" w:lastRow="0" w:noHBand="0" w:noVBand="1" w:val="04A0"/>
      </w:tblPr>
      <w:tblGrid>
        <w:gridCol w:w="3777"/>
        <w:gridCol w:w="3777"/>
        <w:gridCol w:w="3777"/>
      </w:tblGrid>
      <w:tr>
        <w:tc>
          <w:tcPr>
            <w:tcW w:type="dxa" w:w="3777"/>
          </w:tcPr>
          <w:p>
            <w:r/>
            <w:r>
              <w:rPr>
                <w:sz w:val="14"/>
              </w:rPr>
              <w:t>______________________________</w:t>
              <w:br/>
            </w:r>
            <w:r>
              <w:rPr>
                <w:sz w:val="13"/>
              </w:rPr>
              <w:t>Signature</w:t>
            </w:r>
          </w:p>
        </w:tc>
        <w:tc>
          <w:tcPr>
            <w:tcW w:type="dxa" w:w="3777"/>
          </w:tcPr>
          <w:p>
            <w:r/>
            <w:r>
              <w:rPr>
                <w:sz w:val="14"/>
              </w:rPr>
              <w:t>______________________________</w:t>
              <w:br/>
            </w:r>
            <w:r>
              <w:rPr>
                <w:sz w:val="13"/>
              </w:rPr>
              <w:t>Signature</w:t>
            </w:r>
          </w:p>
        </w:tc>
        <w:tc>
          <w:tcPr>
            <w:tcW w:type="dxa" w:w="3777"/>
          </w:tcPr>
          <w:p>
            <w:r/>
            <w:r>
              <w:rPr>
                <w:sz w:val="14"/>
              </w:rPr>
              <w:t>______________________________</w:t>
              <w:br/>
            </w:r>
            <w:r>
              <w:rPr>
                <w:sz w:val="13"/>
              </w:rPr>
              <w:t>Signature</w:t>
            </w:r>
          </w:p>
        </w:tc>
      </w:tr>
      <w:tr>
        <w:tc>
          <w:tcPr>
            <w:tcW w:type="dxa" w:w="3777"/>
          </w:tcPr>
          <w:p>
            <w:r/>
            <w:r>
              <w:rPr>
                <w:sz w:val="14"/>
              </w:rPr>
              <w:t>______________________________</w:t>
              <w:br/>
            </w:r>
            <w:r>
              <w:rPr>
                <w:sz w:val="13"/>
              </w:rPr>
              <w:t>Renter / Tenant Printed Name</w:t>
            </w:r>
          </w:p>
        </w:tc>
        <w:tc>
          <w:tcPr>
            <w:tcW w:type="dxa" w:w="3777"/>
          </w:tcPr>
          <w:p>
            <w:r/>
            <w:r>
              <w:rPr>
                <w:sz w:val="14"/>
              </w:rPr>
              <w:t>______________________________</w:t>
              <w:br/>
            </w:r>
            <w:r>
              <w:rPr>
                <w:sz w:val="13"/>
              </w:rPr>
              <w:t>Property Representative Printed Name</w:t>
            </w:r>
          </w:p>
        </w:tc>
        <w:tc>
          <w:tcPr>
            <w:tcW w:type="dxa" w:w="3777"/>
          </w:tcPr>
          <w:p>
            <w:r/>
            <w:r>
              <w:rPr>
                <w:sz w:val="14"/>
              </w:rPr>
              <w:t>______________________________</w:t>
              <w:br/>
            </w:r>
            <w:r>
              <w:rPr>
                <w:sz w:val="13"/>
              </w:rPr>
              <w:t>Owner/Lessor Printed Name</w:t>
            </w:r>
          </w:p>
        </w:tc>
      </w:tr>
    </w:tbl>
    <w:p>
      <w:pPr>
        <w:jc w:val="center"/>
      </w:pPr>
      <w:r>
        <w:rPr>
          <w:rFonts w:ascii="Arial" w:hAnsi="Arial"/>
          <w:sz w:val="13"/>
        </w:rPr>
        <w:t>Signed on ________ at ________________. Witness, if required: ________________</w:t>
      </w:r>
    </w:p>
    <w:sectPr w:rsidR="00FC693F" w:rsidRPr="0006063C" w:rsidSect="00034616">
      <w:pgSz w:w="12240" w:h="15840"/>
      <w:pgMar w:top="454" w:right="454" w:bottom="454" w:left="4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