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cs="Calibri" w:eastAsia="Calibri"/>
          <w:b/>
          <w:color w:val="1F3A5F"/>
          <w:sz w:val="36"/>
        </w:rPr>
        <w:t>Traspaso de mi parte de la EP3</w:t>
      </w:r>
    </w:p>
    <w:p>
      <w:pPr>
        <w:spacing w:after="200"/>
      </w:pPr>
      <w:r>
        <w:rPr>
          <w:rFonts w:ascii="Calibri" w:hAnsi="Calibri" w:cs="Calibri" w:eastAsia="Calibri"/>
          <w:i/>
          <w:color w:val="555555"/>
          <w:sz w:val="20"/>
        </w:rPr>
        <w:t>Para Nicolás, Skarlett y Ari · Giannina Guerrero · 19 de octubre de 2026</w:t>
      </w:r>
    </w:p>
    <w:p>
      <w:pPr>
        <w:jc w:val="both"/>
      </w:pPr>
      <w:r>
        <w:rPr>
          <w:rFonts w:ascii="Calibri" w:hAnsi="Calibri" w:cs="Calibri" w:eastAsia="Calibri"/>
          <w:i w:val="0"/>
          <w:sz w:val="20"/>
        </w:rPr>
        <w:t>Dejé cerradas las partes que me tocaban en el plan: correcciones de la EV1 en cobertura y normativa, matriz de trazabilidad, secciones 1, 3.1 y 3.3 del plan y la sección 6 de análisis ético y normativo. Todo está en docs/Evaluaciones/EV2/EV2 Contexto: mis documentos de trabajo quedan en la raíz de esa carpeta, el avance del informe y la presentación en la subcarpeta Entregables, y las pautas de la EP3 y la EP4 en Información de la evaluación. Los IDs de casos (CP-01 a CP-23) e incidentes (INC-01 a INC-16) ya están fijos, así que pueden ejecutar directamente sin esperar que yo revise. Les pido no renumerar; si un caso se divide, usen sufijo (CP-10a, CP-10b).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463"/>
      </w:tblGrid>
      <w:tr>
        <w:trPr>
          <w:tblHeader w:val="true"/>
        </w:trPr>
        <w:tc>
          <w:tcPr>
            <w:tcW w:type="dxa" w:w="3175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6463"/>
            <w:shd w:val="clear" w:color="auto" w:fill="1F3A5F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01-Correcciones-EV1-Giannina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Cambios respecto de la EV1 (antes y después) y textos de reemplazo. Sirve para el anexo de correcciones</w:t>
            </w:r>
          </w:p>
        </w:tc>
      </w:tr>
      <w:tr>
        <w:tc>
          <w:tcPr>
            <w:tcW w:type="dxa" w:w="3175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02-Matriz-trazabilidad-40-ERS</w:t>
            </w:r>
          </w:p>
        </w:tc>
        <w:tc>
          <w:tcPr>
            <w:tcW w:type="dxa" w:w="646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Sección 4: los 40 códigos con caso, tipo, riesgo, módulo y responsable; catálogo CP-01 a CP-23; fichas de CP-07 y CP-08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03-Plan-pruebas-estrategia-y-aceptacion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Secciones 1 (introducción, objetivos y alcance), 3.1 (estrategia y cronograma) y 3.3 (criterios de aceptación)</w:t>
            </w:r>
          </w:p>
        </w:tc>
      </w:tr>
      <w:tr>
        <w:tc>
          <w:tcPr>
            <w:tcW w:type="dxa" w:w="3175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04-Analisis-etico-normativo</w:t>
            </w:r>
          </w:p>
        </w:tc>
        <w:tc>
          <w:tcPr>
            <w:tcW w:type="dxa" w:w="646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Sección 6: marco legal con vigencias, Tabla 6.2 de incidentes con norma afectada, dictamen provisional No certificado y recomendaciones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Entregables/EP3-Informe-Cuidarte-Mas-avance (.docx y .pdf)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Avance del informe grupal EP3, con la portada y el formato del curso</w:t>
            </w:r>
          </w:p>
        </w:tc>
      </w:tr>
      <w:tr>
        <w:tc>
          <w:tcPr>
            <w:tcW w:type="dxa" w:w="3175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Entregables/presentacion-ep4</w:t>
            </w:r>
          </w:p>
        </w:tc>
        <w:tc>
          <w:tcPr>
            <w:tcW w:type="dxa" w:w="6463"/>
            <w:shd w:val="clear" w:color="auto" w:fill="EEF2F7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Presentación individual EP4: index.html junto con los logos e imágenes que usa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Información de la evaluación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Calibri" w:hAnsi="Calibri" w:cs="Calibri" w:eastAsia="Calibri"/>
                <w:b w:val="0"/>
                <w:sz w:val="17"/>
              </w:rPr>
              <w:t>Pautas de la EP3 y la EP4, formato del informe y, en Feedback Eva 1, el informe final de la EV1</w:t>
            </w:r>
          </w:p>
        </w:tc>
      </w:tr>
    </w:tbl>
    <w:p>
      <w:pPr>
        <w:spacing w:after="40"/>
      </w:pPr>
    </w:p>
    <w:p>
      <w:pPr>
        <w:pStyle w:val="Heading3"/>
      </w:pPr>
      <w:r>
        <w:t>Nicolás (funcionales, API y bitácora)</w:t>
      </w:r>
    </w:p>
    <w:p>
      <w:pPr>
        <w:jc w:val="both"/>
      </w:pPr>
      <w:r>
        <w:rPr>
          <w:rFonts w:ascii="Calibri" w:hAnsi="Calibri" w:cs="Calibri" w:eastAsia="Calibri"/>
          <w:i w:val="0"/>
          <w:sz w:val="20"/>
        </w:rPr>
        <w:t>Ejecutar CP-01 a CP-03 y CP-07 a CP-13 (las fichas de CP-07 y CP-08 están en el archivo 02, punto 4.8) y SQLMap dentro de CP-04. En cada ejecución, llenar la columna Resultado de la matriz y la bitácora de la sección 5.2 con fecha, ejecutor, evidencia y BUG-xxx si falla. En esa pasada se confirman INC-13 (descarga sin auditoría), INC-14 (POST /auditoria abierto), INC-15 (DOC y PPT rechazados) e INC-16 (documentos en bytea).</w:t>
      </w:r>
    </w:p>
    <w:p>
      <w:pPr>
        <w:pStyle w:val="Heading3"/>
      </w:pPr>
      <w:r>
        <w:t>Skarlett (calidad, SonarQube y formato)</w:t>
      </w:r>
    </w:p>
    <w:p>
      <w:pPr>
        <w:jc w:val="both"/>
      </w:pPr>
      <w:r>
        <w:rPr>
          <w:rFonts w:ascii="Calibri" w:hAnsi="Calibri" w:cs="Calibri" w:eastAsia="Calibri"/>
          <w:i w:val="0"/>
          <w:sz w:val="20"/>
        </w:rPr>
        <w:t>Correr SonarQube en BACKEND y FRONTEND (CP-16 y CP-17) y leer los hallazgos con la Tabla 6.1 para la sección de análisis estático frente a la ley (EP4 IE6). Ejecutar CP-14, CP-16 y CP-18 como verificación de configuración, y CP-06, CP-20 y CP-22. Escribir las secciones 2 y 3.2. Al integrar, aplicar Arial 12 y 11, interlineado 1,5 y justificado (mis archivos están en Calibri porque son de trabajo) y corregir "Caso A" en el README (C-12).</w:t>
      </w:r>
    </w:p>
    <w:p>
      <w:pPr>
        <w:pStyle w:val="Heading3"/>
      </w:pPr>
      <w:r>
        <w:t>Ari (seguridad, rendimiento y criticidad)</w:t>
      </w:r>
    </w:p>
    <w:p>
      <w:pPr>
        <w:jc w:val="both"/>
      </w:pPr>
      <w:r>
        <w:rPr>
          <w:rFonts w:ascii="Calibri" w:hAnsi="Calibri" w:cs="Calibri" w:eastAsia="Calibri"/>
          <w:i w:val="0"/>
          <w:sz w:val="20"/>
        </w:rPr>
        <w:t>Mantener Docker arriba para todos. OWASP ZAP autenticado con token de médico y de paciente, Burp Suite y Nikto (CP-04), John the Ripper (CP-15) y la parte de Burp en CP-17. JMeter en CP-05 con y sin el retraso de 5 s, tiempos de CP-13 y 200 usuarios en CP-19, y CP-21. Fijar la severidad final en la sección 5.3; la Tabla 6.2 trae mi propuesta y la justificación de subir INC-09 a Grave. Sección 3.4 de herramientas y entorno.</w:t>
      </w:r>
    </w:p>
    <w:p>
      <w:pPr>
        <w:pStyle w:val="Heading3"/>
      </w:pPr>
      <w:r>
        <w:t>Lo que retomo yo</w:t>
      </w:r>
    </w:p>
    <w:p>
      <w:pPr>
        <w:jc w:val="both"/>
      </w:pPr>
      <w:r>
        <w:rPr>
          <w:rFonts w:ascii="Calibri" w:hAnsi="Calibri" w:cs="Calibri" w:eastAsia="Calibri"/>
          <w:i w:val="0"/>
          <w:sz w:val="20"/>
        </w:rPr>
        <w:t>Cuando estén los resultados, actualizo la Tabla 6.2 (saco lo que no se confirme), escribo el dictamen con los números reales de la bitácora e integro el informe. Para todos: solo datos sintéticos y herramientas únicamente contra nuestro Docker local.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color w:val="666666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 w:eastAsia="Calibri"/>
        <w:color w:val="666666"/>
        <w:sz w:val="16"/>
      </w:rPr>
      <w:t>ISY1102 · EP3 · Cuidarte+ (Caso B) · Giannina Guerrero · Sección 001V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