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 w:eastAsia="Calibri"/>
          <w:b/>
          <w:color w:val="1F3A5F"/>
          <w:sz w:val="36"/>
        </w:rPr>
        <w:t>Correcciones al contenido de la EV1</w:t>
      </w:r>
    </w:p>
    <w:p>
      <w:pPr>
        <w:spacing w:after="200"/>
      </w:pPr>
      <w:r>
        <w:rPr>
          <w:rFonts w:ascii="Calibri" w:hAnsi="Calibri" w:cs="Calibri" w:eastAsia="Calibri"/>
          <w:i/>
          <w:color w:val="555555"/>
          <w:sz w:val="20"/>
        </w:rPr>
        <w:t>Insumo para la EP3 y para el anexo de correcciones · Cuidarte+ (Caso B) · Elaborado por Giannina Guerrero · 19 de octubre de 2026</w:t>
      </w:r>
    </w:p>
    <w:p>
      <w:pPr>
        <w:pStyle w:val="Heading2"/>
      </w:pPr>
      <w:r>
        <w:t>Origen de las correcciones</w:t>
      </w:r>
    </w:p>
    <w:p>
      <w:pPr>
        <w:jc w:val="both"/>
      </w:pPr>
      <w:r>
        <w:rPr>
          <w:rFonts w:ascii="Calibri" w:hAnsi="Calibri" w:cs="Calibri" w:eastAsia="Calibri"/>
          <w:i w:val="0"/>
          <w:sz w:val="22"/>
        </w:rPr>
        <w:t>La EP3 pide retomar los puntos de la primera evaluación con los ajustes que surgieron de la retroalimentación del docente. Esa retroalimentación fue presencial: el profesor nos señaló que en el marco legal no habíamos considerado la ley de derechos de los pacientes, lo relativo a urgencias ni otras normas propias del caso, y que había información con discordancias que debíamos ajustar. Como no hay comentarios escritos, este documento no cita al profesor. Las correcciones salen de releer el informe EV1 (EV1_Informe_Final.docx) frente al ERS B, a los textos legales y al código del repositorio, y de las brechas que el mismo grupo dejó declaradas en las secciones 5.2 y 6.</w:t>
      </w:r>
    </w:p>
    <w:p>
      <w:pPr>
        <w:jc w:val="both"/>
      </w:pPr>
      <w:r>
        <w:rPr>
          <w:rFonts w:ascii="Calibri" w:hAnsi="Calibri" w:cs="Calibri" w:eastAsia="Calibri"/>
          <w:i w:val="0"/>
          <w:sz w:val="22"/>
        </w:rPr>
        <w:t>Las correcciones están agrupadas en cuatro bloques: cobertura, vigencia y citas legales, nombre del caso y estructura y formato. Para cada una se indica dónde estaba en la EV1, qué decía, cómo queda en la EP3 y en qué archivo de esta carpeta quedó aplicada. Las que no requieren un archivo nuevo se aplican al armar el informe final.</w:t>
      </w:r>
    </w:p>
    <w:p>
      <w:pPr>
        <w:pStyle w:val="Heading2"/>
      </w:pPr>
      <w:r>
        <w:t>A. Cobertura (C-01)</w:t>
      </w:r>
    </w:p>
    <w:p>
      <w:pPr>
        <w:keepNext/>
        <w:spacing w:after="60"/>
      </w:pPr>
      <w:r>
        <w:rPr>
          <w:rFonts w:ascii="Calibri" w:hAnsi="Calibri" w:cs="Calibri" w:eastAsia="Calibri"/>
          <w:b/>
          <w:sz w:val="20"/>
        </w:rPr>
        <w:t>Tabla 1. Correcciones de cobertura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4082"/>
        <w:gridCol w:w="5783"/>
        <w:gridCol w:w="1474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N°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Dónde (EV1)</w:t>
            </w:r>
          </w:p>
        </w:tc>
        <w:tc>
          <w:tcPr>
            <w:tcW w:type="dxa" w:w="4082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Después (EP3)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Aplicado en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§5.1 Matriz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11 filas que agrupaban 14 de los 40 códigos del ERS B; 21 códigos sin ningún caso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Matriz con los 40 códigos, cada uno con caso asignado (CP-01 a CP-23), tipo de prueba, riesgo, módulo, responsable de ejecución e incidente vinculado. Cobertura de diseño 40/40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A2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§5.1 columna Cobertura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 marcaba Cubierto todo requisito con un caso diseñado (por ejemplo NFR-SEG-4 con CP-04), aunque no se hubiera ejecutado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 separan cobertura de diseño (matriz) y resultado de ejecución (Aprobado, Falla, Bloqueado o No ejecutado). El estado final depende de la bitácora, no del diseño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02 y 03 (§3.3)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A3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§5.2 Brechas, fila RF-2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"Cubierto conceptualmente por la verificación de RBAC; se recomienda incorporar un caso CP-07"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RF-2.1 queda en CP-09, RF-2.2 a 2.4 en CP-10 y RF-2.5 a 2.7 en CP-08, con ficha completa. CP-07 se usa para el cierre de sesión (RF-1.2)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A4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§5.2 Brechas, filas RF-4.2, NFR-PERF-2 y 3, NFR-SEG-1 y 7, NFR-DIS-1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Brechas postergadas para un segundo ciclo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Cada una tiene caso en la EP3: CP-13 (descarga en 10 s), CP-19 (home y 200 usuarios), CP-14 y CP-18 (verificación de configuración de TLS y respaldo), CP-21 (verificación documental de disponibilidad)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A5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CP-03 y matriz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RF-5.1 se probaba solo con la eliminación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CP-03 se amplía a la subida y la descarga de documentos, como pide el ERS. La revisión del código muestra que la descarga no se audita (INC-13)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02 y 04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A6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§5.3, cuarta viñeta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"La sección normativa conecta el requerimiento NFR-SEG-8 con normas chilenas concretas y con artículos determinados, evitando las menciones genéricas"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"La sección normativa vincula cada norma con artículos revisados en su texto vigente y con el caso de prueba que la verifica (Tabla 6.1 y matriz de trazabilidad)." La frase anterior no coincidía con el bloque genérico del final de §2.3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</w:t>
            </w:r>
          </w:p>
        </w:tc>
      </w:tr>
    </w:tbl>
    <w:p>
      <w:pPr>
        <w:spacing w:after="40"/>
      </w:pPr>
    </w:p>
    <w:p>
      <w:pPr>
        <w:pStyle w:val="Heading2"/>
      </w:pPr>
      <w:r>
        <w:t>B. Vigencia y citas legales (C-11)</w:t>
      </w:r>
    </w:p>
    <w:p>
      <w:pPr>
        <w:keepNext/>
        <w:spacing w:after="60"/>
      </w:pPr>
      <w:r>
        <w:rPr>
          <w:rFonts w:ascii="Calibri" w:hAnsi="Calibri" w:cs="Calibri" w:eastAsia="Calibri"/>
          <w:b/>
          <w:sz w:val="20"/>
        </w:rPr>
        <w:t>Tabla 2. Correcciones de vigencia y citas legales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4082"/>
        <w:gridCol w:w="5783"/>
        <w:gridCol w:w="1474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N°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Dónde (EV1)</w:t>
            </w:r>
          </w:p>
        </w:tc>
        <w:tc>
          <w:tcPr>
            <w:tcW w:type="dxa" w:w="4082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Después (EP3)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Aplicado en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fila Ley 19.628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"art. 22 sobre registro"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 retira el art. 22, que regula el registro de bancos de datos de organismos públicos. Se citan los arts. 2 g), 7, 10 y 11, y se mantiene el art. 23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B2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fila Ley 19.628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"derechos del paciente sobre su ficha clínica"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Esos derechos están en la Ley 20.584 (arts. 12 y 13) y en el DS 41. Se trasladan a la fila de la Ley 20.584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B3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texto bajo la tabla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Código Sanitario, Ley 20.584, "Decretos Supremos y Reglamentos" y "Normas Técnicas Básicas" como líneas sueltas, sin artículos ni prueba asociada, con referencias a farmacias y sustancias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Filas completas para la Ley 20.584, la Ley 21.668 y el DS 41, con artículos y casos. Nueva fila de atención de urgencia (DFL 1 de 2005, arts. 141 y 173). Se retiran el Código Sanitario y la línea genérica de decretos y normas técnicas, porque ningún hallazgo se fundamenta en ellos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B4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fila Ley 21.719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"La organización es responsable del tratamiento de datos clínicos y responde patrimonialmente por las infracciones"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"Publicada el 13-12-2024, entra en vigencia el 01-12-2026. Mientras tanto, la responsabilidad del centro se funda en los arts. 11 y 23 de la Ley 19.628."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B5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§5.2 y §6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"art. 35 de la Ley 21.719"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"art. 35 de la Ley 19.628, en el texto que introduce la Ley 21.719 (vigente desde el 01-12-2026)". El art. 35 forma parte de la ley modificada, no de la ley modificatoria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 y textos R1 y R4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B6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§3.4, Entorno de prueba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"El uso exclusivo de datos sintéticos ... es una exigencia derivada del principio de minimización de la Ley 21.719"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Ver texto de reemplazo R2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B7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fila Ley 21.663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"art. 36 remite a los arts. 246, 247 y 247 bis del Código Penal"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 retira el art. 36, que trata la reserva de la información de la Agencia y de los CSIRT. Se citan el art. 4 (la prestación institucional de salud es servicio esencial), el art. 9 (alerta temprana en tres horas) y el art. 27 (incidente de efecto significativo)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B8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§2.3, fila Ley 21.663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"eleva el estándar exigible a la plataforma"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La obligada es la institución de salud que presta el servicio esencial. El sistema debe permitirle cumplir, por ejemplo dejando registros útiles para reportar a tiempo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B9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§2.3 fila DS 181 y §6, última recomendación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"el Título Cuarto protege los derechos de los usuarios y su letra b) sobre seguridad remite a NCh 27002"; "en cumplimiento del Título Cuarto del Decreto 181"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El Título Cuarto del DS 181 trata los derechos de los usuarios de servicios de certificación. La integridad de los documentos clínicos se fundamenta en la Ley 20.584 art. 12 y el DS 41 art. 8. El DS 181 se cita solo si se usa firma electrónica, que el ERS no pide. NCh 27002 se mantiene como referencia técnica, sin atribuirla al DS 181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 y texto R3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B10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§2.4 Matriz criterio, requerimiento, norma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Confidencialidad: Ley 19.628 y 21.719. Integridad documental: DS 181 y Ley 19.799. Trazabilidad: Ley 21.719 y 21.459. Disponibilidad: Ley 21.663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Confidencialidad: Ley 20.584 art. 13, DS 41 art. 9 y Ley 19.628 art. 11. Integridad documental: Ley 20.584 art. 12 y DS 41 art. 8. Trazabilidad: DS 41 art. 9 y Ley 21.663 art. 9. Disponibilidad y acceso oportuno: Ley 20.584 art. 13 y DS 41 art. 8. La Ley 21.719 se anota como vigencia 01-12-2026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 (con 04)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B11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§2.2 y CP-02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RB-3 tratado solo como requisito funcional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 prueba tal como está escrito y se agrega la observación de cumplimiento OC-01 por la Ley 20.584 art. 13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 (§6.3) y 02</w:t>
            </w:r>
          </w:p>
        </w:tc>
      </w:tr>
    </w:tbl>
    <w:p>
      <w:pPr>
        <w:spacing w:after="40"/>
      </w:pPr>
    </w:p>
    <w:p>
      <w:pPr>
        <w:pStyle w:val="Heading2"/>
      </w:pPr>
      <w:r>
        <w:t>C. Nombre del caso (C-12)</w:t>
      </w:r>
    </w:p>
    <w:p>
      <w:pPr>
        <w:keepNext/>
        <w:spacing w:after="60"/>
      </w:pPr>
      <w:r>
        <w:rPr>
          <w:rFonts w:ascii="Calibri" w:hAnsi="Calibri" w:cs="Calibri" w:eastAsia="Calibri"/>
          <w:b/>
          <w:sz w:val="20"/>
        </w:rPr>
        <w:t>Tabla 3. Correcciones sobre el nombre del caso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4082"/>
        <w:gridCol w:w="5783"/>
        <w:gridCol w:w="1474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N°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Dónde (EV1)</w:t>
            </w:r>
          </w:p>
        </w:tc>
        <w:tc>
          <w:tcPr>
            <w:tcW w:type="dxa" w:w="4082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Después (EP3)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Aplicado en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README.md del repositorio, línea 3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"... asociados al Caso A de la asignatura llamado Sistema de Gestión Cuidarte+"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En el informe EP3 se escribe siempre "Caso B: Sistema de exámenes médicos Cuidarte+", que es el título del ERS B. Texto propuesto para el README: "... asociados al Caso B de la asignatura, Sistema de exámenes médicos Cuidarte+". El cambio en el README lo hace Skarlett en su commit (C-12)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 y README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C2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ERS B, glosario, §2.3, RF-5.1 y NFR-SEG-1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Atlas, rol Editor, "Cada usuario debe pertenecer a una o más empresas", "clientes, contratos", "TSL"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No se copian al informe. Se agrega una nota de interpretación en el alcance (§1.4): los requisitos se leen sobre pacientes, exámenes, documentos y usuarios, y se escribe TLS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03 (§1.4) y 02 (§4.6)</w:t>
            </w:r>
          </w:p>
        </w:tc>
      </w:tr>
    </w:tbl>
    <w:p>
      <w:pPr>
        <w:spacing w:after="40"/>
      </w:pPr>
    </w:p>
    <w:p>
      <w:pPr>
        <w:pStyle w:val="Heading2"/>
      </w:pPr>
      <w:r>
        <w:t>D. Estructura y formato</w:t>
      </w:r>
    </w:p>
    <w:p>
      <w:pPr>
        <w:keepNext/>
        <w:spacing w:after="60"/>
      </w:pPr>
      <w:r>
        <w:rPr>
          <w:rFonts w:ascii="Calibri" w:hAnsi="Calibri" w:cs="Calibri" w:eastAsia="Calibri"/>
          <w:b/>
          <w:sz w:val="20"/>
        </w:rPr>
        <w:t>Tabla 4. Correcciones de estructura y formato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4082"/>
        <w:gridCol w:w="5783"/>
        <w:gridCol w:w="1474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N°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Dónde (EV1)</w:t>
            </w:r>
          </w:p>
        </w:tc>
        <w:tc>
          <w:tcPr>
            <w:tcW w:type="dxa" w:w="4082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Después (EP3)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Aplicado en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§1.3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Títulos "Objetivo General" y "Objetivos Específicos" vacíos bajo un párrafo de objetivos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Objetivo general y cinco objetivos específicos redactados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03 (§1.3)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D2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Final de §3.4 y de §5.1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Bloque "TIPOS DE PRUEBAS…" con una lista suelta, repetido dos veces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 elimina; los tipos de prueba se desarrollan solo en §3.2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D3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§3.1, §3.4, §2.1 y CP-05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Jest, k6 y "k6 o JMeter"; en §5.3 "herramientas efectivamente disponibles: Postman, Docker, Lighthouse y k6"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Herramientas reales de la EP3: Selenium, Postman/Swagger, OWASP ZAP, Burp Suite, Nikto, SQLMap, John the Ripper, JMeter, SonarQube y Lighthouse. Se retiran Jest y k6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03 (§3.1)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D4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§5.4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Indicadores IE1 a IE5 de la EP1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Indicadores de la EP3: IE1 (20 %), IE3 (38 %), IE5 (15 %), IE7 (15 %) e IE9 (12 %)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D5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Estructura general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Siete secciones de la EP1 (sin ejecución)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Estructura del formato EP3: 1 Introducción, 2 Criterios, 3 Plan (3.1 a 3.4), 4 Diseño de casos, 5 Ejecución (5.1 a 5.3), más 6 Análisis ético y normativo y anexo de correcciones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03 (§1.5)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D6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Formato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Formato institucional de la EP1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Títulos en Arial 12, cuerpo en Arial 11, interlineado 1,5, texto justificado. Portada con los cuatro integrantes, carrera, sección 001V, docente y fecha. Los archivos de esta carpeta están en Calibri porque son de trabajo; el formato final se aplica al integrar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D7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§1.2 y §3.2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Frases como "Esta triple exposición" y "Cabe subrayar"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Redacción más directa y técnica, sin cambiar el contenido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Informe final</w:t>
            </w:r>
          </w:p>
        </w:tc>
      </w:tr>
    </w:tbl>
    <w:p>
      <w:pPr>
        <w:spacing w:after="40"/>
      </w:pPr>
    </w:p>
    <w:p>
      <w:pPr>
        <w:pStyle w:val="Heading2"/>
      </w:pPr>
      <w:r>
        <w:t>Textos de reemplazo</w:t>
      </w:r>
    </w:p>
    <w:p>
      <w:pPr>
        <w:jc w:val="both"/>
      </w:pPr>
      <w:r>
        <w:rPr>
          <w:rFonts w:ascii="Calibri" w:hAnsi="Calibri" w:cs="Calibri" w:eastAsia="Calibri"/>
          <w:i w:val="0"/>
          <w:sz w:val="22"/>
        </w:rPr>
        <w:t>Estos párrafos reemplazan textualmente a los de la EV1 que tenían errores de vigencia o de cita.</w:t>
      </w:r>
    </w:p>
    <w:p>
      <w:pPr>
        <w:jc w:val="both"/>
      </w:pPr>
      <w:r>
        <w:rPr>
          <w:rFonts w:ascii="Calibri" w:hAnsi="Calibri" w:cs="Calibri" w:eastAsia="Calibri"/>
          <w:b/>
          <w:sz w:val="22"/>
        </w:rPr>
        <w:t xml:space="preserve">R1. Reemplaza el último párrafo de §5.2. </w:t>
      </w:r>
      <w:r>
        <w:rPr>
          <w:rFonts w:ascii="Calibri" w:hAnsi="Calibri" w:cs="Calibri" w:eastAsia="Calibri"/>
          <w:i w:val="0"/>
          <w:sz w:val="22"/>
        </w:rPr>
        <w:t>"La priorización privilegia el riesgo legal y clínico (autenticación, control de acceso, auditoría e integridad documental) por sobre las métricas de comportamiento a largo plazo. Una falla en las primeras afecta hoy el deber de cuidado de los datos sensibles de la Ley 19.628 (arts. 11 y 23) y la confidencialidad de la ficha clínica de la Ley 20.584 (art. 13); a partir del 01-12-2026 podrá constituir además una infracción grave o gravísima según el texto que la Ley 21.719 introduce en la Ley 19.628. Un incumplimiento de las segundas produce una degradación de servicio que se puede corregir en iteraciones posteriores."</w:t>
      </w:r>
    </w:p>
    <w:p>
      <w:pPr>
        <w:jc w:val="both"/>
      </w:pPr>
      <w:r>
        <w:rPr>
          <w:rFonts w:ascii="Calibri" w:hAnsi="Calibri" w:cs="Calibri" w:eastAsia="Calibri"/>
          <w:b/>
          <w:sz w:val="22"/>
        </w:rPr>
        <w:t xml:space="preserve">R2. Reemplaza el párrafo final de §3.4, Entorno de prueba. </w:t>
      </w:r>
      <w:r>
        <w:rPr>
          <w:rFonts w:ascii="Calibri" w:hAnsi="Calibri" w:cs="Calibri" w:eastAsia="Calibri"/>
          <w:i w:val="0"/>
          <w:sz w:val="22"/>
        </w:rPr>
        <w:t>"Las cuentas de prueba son ficticias (admin.qa, medico.qa y paciente.qa) y sus contraseñas cumplen la política del ERS de al menos doce caracteres con mayúscula, minúscula, número y símbolo. Usar solo datos sintéticos responde al deber de cuidado de los datos sensibles de salud (Ley 19.628, arts. 10 y 11) y se adelanta al principio de proporcionalidad que incorpora la Ley 21.719, vigente desde el 01-12-2026."</w:t>
      </w:r>
    </w:p>
    <w:p>
      <w:pPr>
        <w:jc w:val="both"/>
      </w:pPr>
      <w:r>
        <w:rPr>
          <w:rFonts w:ascii="Calibri" w:hAnsi="Calibri" w:cs="Calibri" w:eastAsia="Calibri"/>
          <w:b/>
          <w:sz w:val="22"/>
        </w:rPr>
        <w:t xml:space="preserve">R3. Reemplaza la última recomendación de §6. </w:t>
      </w:r>
      <w:r>
        <w:rPr>
          <w:rFonts w:ascii="Calibri" w:hAnsi="Calibri" w:cs="Calibri" w:eastAsia="Calibri"/>
          <w:i w:val="0"/>
          <w:sz w:val="22"/>
        </w:rPr>
        <w:t>"Incorporar un mecanismo de verificación de integridad, con un resumen criptográfico almacenado y revalidado en cada descarga, sobre los documentos clínicos. Esto responde a la exigencia de autenticidad del contenido y de los cambios de la ficha clínica (Ley 20.584, art. 12, y DS 41, art. 8)."</w:t>
      </w:r>
    </w:p>
    <w:p>
      <w:pPr>
        <w:jc w:val="both"/>
      </w:pPr>
      <w:r>
        <w:rPr>
          <w:rFonts w:ascii="Calibri" w:hAnsi="Calibri" w:cs="Calibri" w:eastAsia="Calibri"/>
          <w:b/>
          <w:sz w:val="22"/>
        </w:rPr>
        <w:t xml:space="preserve">R4. Reemplaza la frase central de la conclusión de §6. </w:t>
      </w:r>
      <w:r>
        <w:rPr>
          <w:rFonts w:ascii="Calibri" w:hAnsi="Calibri" w:cs="Calibri" w:eastAsia="Calibri"/>
          <w:i w:val="0"/>
          <w:sz w:val="22"/>
        </w:rPr>
        <w:t>"... una autorización mal implementada no es un error de programación con consecuencias solo técnicas: es un acceso indebido a datos sensibles de salud, contrario hoy a los arts. 11 de la Ley 19.628 y 13 de la Ley 20.584, y que desde el 01-12-2026 podrá sancionarse con las multas del art. 35 de la Ley 19.628 en su nuevo texto."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66666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color w:val="666666"/>
        <w:sz w:val="16"/>
      </w:rPr>
      <w:t>ISY1102 · EP3 · Cuidarte+ (Caso B) · Giannina Guerrero · Sección 001V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