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eastAsia="Calibri"/>
          <w:b/>
          <w:color w:val="1F3A5F"/>
          <w:sz w:val="36"/>
        </w:rPr>
        <w:t>Plan de pruebas EP3: introducción, estrategia y criterios de aceptación</w:t>
      </w:r>
    </w:p>
    <w:p>
      <w:pPr>
        <w:spacing w:after="200"/>
      </w:pPr>
      <w:r>
        <w:rPr>
          <w:rFonts w:ascii="Calibri" w:hAnsi="Calibri" w:cs="Calibri" w:eastAsia="Calibri"/>
          <w:i/>
          <w:color w:val="555555"/>
          <w:sz w:val="20"/>
        </w:rPr>
        <w:t>Secciones 1, 3.1 y 3.3 del informe EP3 · Cuidarte+ (Caso B) · Elaborado por Giannina Guerrero · 19 de octubre de 2026</w:t>
      </w:r>
    </w:p>
    <w:p>
      <w:pPr>
        <w:pStyle w:val="Heading1"/>
      </w:pPr>
      <w:r>
        <w:t>1. Introducción</w:t>
      </w:r>
    </w:p>
    <w:p>
      <w:pPr>
        <w:pStyle w:val="Heading2"/>
      </w:pPr>
      <w:r>
        <w:t>1.1 Contexto del software</w:t>
      </w:r>
    </w:p>
    <w:p>
      <w:pPr>
        <w:jc w:val="both"/>
      </w:pPr>
      <w:r>
        <w:rPr>
          <w:rFonts w:ascii="Calibri" w:hAnsi="Calibri" w:cs="Calibri" w:eastAsia="Calibri"/>
          <w:i w:val="0"/>
          <w:sz w:val="22"/>
        </w:rPr>
        <w:t>Cuidarte+ es una plataforma web para centros de salud desarrollada por CreaLab SpA y corresponde al Caso B de la asignatura. Permite que los médicos registren pacientes y exámenes, que los pacientes revisen y descarguen sus documentos clínicos y que los administradores gestionen usuarios y revisen la auditoría. Está construida como una SPA en React que consume una API REST en Express sobre una base de datos PostgreSQL, y para esta evaluación se ejecuta en contenedores Docker en cada equipo del grupo (frontend en el puerto 3333, API en el 4444 con Swagger en /docs y base de datos en el 15442).</w:t>
      </w:r>
    </w:p>
    <w:p>
      <w:pPr>
        <w:jc w:val="both"/>
      </w:pPr>
      <w:r>
        <w:rPr>
          <w:rFonts w:ascii="Calibri" w:hAnsi="Calibri" w:cs="Calibri" w:eastAsia="Calibri"/>
          <w:i w:val="0"/>
          <w:sz w:val="22"/>
        </w:rPr>
        <w:t>El sistema trata datos de salud, que la legislación chilena califica como datos sensibles, y está pensado también para personas mayores. Por eso un defecto en Cuidarte+ no es solo un problema técnico: puede afectar la confidencialidad de la ficha clínica, la continuidad de la atención y la responsabilidad legal del centro que lo use.</w:t>
      </w:r>
    </w:p>
    <w:p>
      <w:pPr>
        <w:pStyle w:val="Heading2"/>
      </w:pPr>
      <w:r>
        <w:t>1.2 Propósito de esta entrega</w:t>
      </w:r>
    </w:p>
    <w:p>
      <w:pPr>
        <w:jc w:val="both"/>
      </w:pPr>
      <w:r>
        <w:rPr>
          <w:rFonts w:ascii="Calibri" w:hAnsi="Calibri" w:cs="Calibri" w:eastAsia="Calibri"/>
          <w:i w:val="0"/>
          <w:sz w:val="22"/>
        </w:rPr>
        <w:t>En la EV1 diseñamos el plan de pruebas y seis casos representativos. La EP3 continúa ese trabajo con tres cambios de fondo. Primero, la cobertura pasa de 14 a los 40 códigos del ERS B, cada uno con su caso de prueba. Segundo, los casos se ejecutan en el ambiente Docker y se registran con evidencia, resultado e incidentes clasificados por criticidad. Tercero, el análisis normativo incorpora la normativa sanitaria que faltaba en la EV1 (derechos de los pacientes, ficha clínica y atención de urgencia) y distingue con claridad entre normas vigentes y normas de vigencia futura.</w:t>
      </w:r>
    </w:p>
    <w:p>
      <w:pPr>
        <w:pStyle w:val="Heading2"/>
      </w:pPr>
      <w:r>
        <w:t>1.3 Objetivos</w:t>
      </w:r>
    </w:p>
    <w:p>
      <w:pPr>
        <w:jc w:val="both"/>
      </w:pPr>
      <w:r>
        <w:rPr>
          <w:rFonts w:ascii="Calibri" w:hAnsi="Calibri" w:cs="Calibri" w:eastAsia="Calibri"/>
          <w:b/>
          <w:sz w:val="22"/>
        </w:rPr>
        <w:t xml:space="preserve">Objetivo general. </w:t>
      </w:r>
      <w:r>
        <w:rPr>
          <w:rFonts w:ascii="Calibri" w:hAnsi="Calibri" w:cs="Calibri" w:eastAsia="Calibri"/>
          <w:i w:val="0"/>
          <w:sz w:val="22"/>
        </w:rPr>
        <w:t>Verificar si Cuidarte+ cumple los requisitos funcionales, no funcionales y reglas de negocio del ERS B, junto con las exigencias legales que aplican a un sistema que gestiona información clínica, para emitir un dictamen fundado sobre su aptitud para producción.</w:t>
      </w:r>
    </w:p>
    <w:p>
      <w:pPr>
        <w:jc w:val="both"/>
      </w:pPr>
      <w:r>
        <w:rPr>
          <w:rFonts w:ascii="Calibri" w:hAnsi="Calibri" w:cs="Calibri" w:eastAsia="Calibri"/>
          <w:b/>
          <w:sz w:val="22"/>
        </w:rPr>
        <w:t xml:space="preserve">Objetivos específicos. </w:t>
      </w:r>
      <w:r>
        <w:rPr>
          <w:rFonts w:ascii="Calibri" w:hAnsi="Calibri" w:cs="Calibri" w:eastAsia="Calibri"/>
          <w:i w:val="0"/>
          <w:sz w:val="22"/>
        </w:rPr>
        <w:t>El trabajo se ordena en cinco objetivos específicos:</w:t>
      </w:r>
    </w:p>
    <w:p>
      <w:pPr>
        <w:pStyle w:val="ListNumber"/>
        <w:jc w:val="both"/>
      </w:pPr>
      <w:r>
        <w:rPr>
          <w:rFonts w:ascii="Calibri" w:hAnsi="Calibri" w:cs="Calibri" w:eastAsia="Calibri"/>
          <w:sz w:val="22"/>
        </w:rPr>
        <w:t>Asociar cada uno de los 40 códigos del ERS B a un caso de prueba con tipo, riesgo y responsable definidos.</w:t>
      </w:r>
    </w:p>
    <w:p>
      <w:pPr>
        <w:pStyle w:val="ListNumber"/>
        <w:jc w:val="both"/>
      </w:pPr>
      <w:r>
        <w:rPr>
          <w:rFonts w:ascii="Calibri" w:hAnsi="Calibri" w:cs="Calibri" w:eastAsia="Calibri"/>
          <w:sz w:val="22"/>
        </w:rPr>
        <w:t>Ejecutar los casos en el ambiente Docker y registrar resultado, evidencia, fecha y responsable en la bitácora.</w:t>
      </w:r>
    </w:p>
    <w:p>
      <w:pPr>
        <w:pStyle w:val="ListNumber"/>
        <w:jc w:val="both"/>
      </w:pPr>
      <w:r>
        <w:rPr>
          <w:rFonts w:ascii="Calibri" w:hAnsi="Calibri" w:cs="Calibri" w:eastAsia="Calibri"/>
          <w:sz w:val="22"/>
        </w:rPr>
        <w:t>Clasificar los incidentes encontrados según la escala de criticidad de la sección 5.3.</w:t>
      </w:r>
    </w:p>
    <w:p>
      <w:pPr>
        <w:pStyle w:val="ListNumber"/>
        <w:jc w:val="both"/>
      </w:pPr>
      <w:r>
        <w:rPr>
          <w:rFonts w:ascii="Calibri" w:hAnsi="Calibri" w:cs="Calibri" w:eastAsia="Calibri"/>
          <w:sz w:val="22"/>
        </w:rPr>
        <w:t>Contrastar los resultados del análisis estático con SonarQube y de las pruebas dinámicas con las normas de la sección 6.</w:t>
      </w:r>
    </w:p>
    <w:p>
      <w:pPr>
        <w:pStyle w:val="ListNumber"/>
        <w:jc w:val="both"/>
      </w:pPr>
      <w:r>
        <w:rPr>
          <w:rFonts w:ascii="Calibri" w:hAnsi="Calibri" w:cs="Calibri" w:eastAsia="Calibri"/>
          <w:sz w:val="22"/>
        </w:rPr>
        <w:t>Proponer recomendaciones técnicas y normativas priorizadas y un dictamen de certificación.</w:t>
      </w:r>
    </w:p>
    <w:p>
      <w:pPr>
        <w:pStyle w:val="Heading2"/>
      </w:pPr>
      <w:r>
        <w:t>1.4 Alcance</w:t>
      </w:r>
    </w:p>
    <w:p>
      <w:pPr>
        <w:jc w:val="both"/>
      </w:pPr>
      <w:r>
        <w:rPr>
          <w:rFonts w:ascii="Calibri" w:hAnsi="Calibri" w:cs="Calibri" w:eastAsia="Calibri"/>
          <w:i w:val="0"/>
          <w:sz w:val="22"/>
        </w:rPr>
        <w:t>Quedan dentro del alcance todos los módulos descritos en el ERS B: autenticación y sesión, registro de usuarios, gestión de pacientes, exámenes y documentos, visualización por parte del paciente, auditoría y administración de usuarios y roles, además de los atributos de seguridad, rendimiento, usabilidad, disponibilidad y compatibilidad. Las pruebas se hacen solo sobre la instalación local en Docker, con datos sintéticos. Quedan fuera un pentest certificado por terceros, la certificación formal WCAG, una auditoría legal externa y la medición de disponibilidad durante un mes completo; para NFR-DIS-1 se revisa la configuración y la documentación, no el uptime real.</w:t>
      </w:r>
    </w:p>
    <w:p>
      <w:pPr>
        <w:jc w:val="both"/>
      </w:pPr>
      <w:r>
        <w:rPr>
          <w:rFonts w:ascii="Calibri" w:hAnsi="Calibri" w:cs="Calibri" w:eastAsia="Calibri"/>
          <w:i w:val="0"/>
          <w:sz w:val="22"/>
        </w:rPr>
        <w:t>El ERS contiene algunos restos del Caso A: el glosario define Atlas y el rol Editor, la sección 2.3 dice que cada usuario debe pertenecer a una o más empresas, RF-5.1 habla de clientes y contratos y NFR-SEG-1 escribe TSL en lugar de TLS. En este informe se interpretan sobre las entidades reales de Cuidarte+ (pacientes, exámenes, documentos y usuarios) y se escribe TLS.</w:t>
      </w:r>
    </w:p>
    <w:p>
      <w:pPr>
        <w:pStyle w:val="Heading2"/>
      </w:pPr>
      <w:r>
        <w:t>1.5 Estructura del informe</w:t>
      </w:r>
    </w:p>
    <w:p>
      <w:pPr>
        <w:jc w:val="both"/>
      </w:pPr>
      <w:r>
        <w:rPr>
          <w:rFonts w:ascii="Calibri" w:hAnsi="Calibri" w:cs="Calibri" w:eastAsia="Calibri"/>
          <w:i w:val="0"/>
          <w:sz w:val="22"/>
        </w:rPr>
        <w:t>El informe sigue el formato de la EP3. La sección 2 define los criterios de calidad, seguridad y cumplimiento; la sección 3 presenta el plan de pruebas (estrategia, tipos de prueba, criterios de aceptación y herramientas); la sección 4 contiene la matriz de trazabilidad y el diseño de los casos; la sección 5 muestra la ejecución, con resumen, detalle y criticidad de los incidentes, y la sección 6 desarrolla el análisis ético y normativo de los resultados. Como anexo se incluye la tabla de correcciones respecto de la EV1.</w:t>
      </w:r>
    </w:p>
    <w:p>
      <w:pPr>
        <w:pStyle w:val="Heading1"/>
      </w:pPr>
      <w:r>
        <w:t>3.1 Estrategia de pruebas</w:t>
      </w:r>
    </w:p>
    <w:p>
      <w:pPr>
        <w:pStyle w:val="Heading2"/>
      </w:pPr>
      <w:r>
        <w:t>Enfoque</w:t>
      </w:r>
    </w:p>
    <w:p>
      <w:pPr>
        <w:jc w:val="both"/>
      </w:pPr>
      <w:r>
        <w:rPr>
          <w:rFonts w:ascii="Calibri" w:hAnsi="Calibri" w:cs="Calibri" w:eastAsia="Calibri"/>
          <w:i w:val="0"/>
          <w:sz w:val="22"/>
        </w:rPr>
        <w:t>Usamos un enfoque mixto. Automatizamos lo que conviene repetir o medir con precisión: los flujos principales en Selenium, las pruebas de carga y de tiempo de respuesta en JMeter, el análisis dinámico con OWASP ZAP y Nikto, la búsqueda de inyección SQL con SQLMap y el análisis estático con SonarQube. Dejamos en manual lo que necesita criterio humano, como la usabilidad con personas mayores, la revisión de mensajes de error, la exploración con Burp Suite sobre peticiones concretas y las verificaciones de configuración (TLS, cifrado y respaldo).</w:t>
      </w:r>
    </w:p>
    <w:p>
      <w:pPr>
        <w:jc w:val="both"/>
      </w:pPr>
      <w:r>
        <w:rPr>
          <w:rFonts w:ascii="Calibri" w:hAnsi="Calibri" w:cs="Calibri" w:eastAsia="Calibri"/>
          <w:i w:val="0"/>
          <w:sz w:val="22"/>
        </w:rPr>
        <w:t>El criterio de fondo es que en un sistema clínico la interfaz no basta como evidencia. Un caso de control de acceso se verifica en la respuesta de la API y en la tabla de auditoría, no solo en lo que muestra la pantalla. Por eso varios casos funcionales tienen también un paso de API con Postman o Swagger.</w:t>
      </w:r>
    </w:p>
    <w:p>
      <w:pPr>
        <w:pStyle w:val="Heading2"/>
      </w:pPr>
      <w:r>
        <w:t>Etapas y cronograma</w:t>
      </w:r>
    </w:p>
    <w:p>
      <w:pPr>
        <w:jc w:val="both"/>
      </w:pPr>
      <w:r>
        <w:rPr>
          <w:rFonts w:ascii="Calibri" w:hAnsi="Calibri" w:cs="Calibri" w:eastAsia="Calibri"/>
          <w:i w:val="0"/>
          <w:sz w:val="22"/>
        </w:rPr>
        <w:t>La ejecución se organiza en cinco etapas. Como la fecha de la evaluación (D) aún no está publicada, el cronograma se expresa en días antes de D, siguiendo el plan de trabajo del grupo.</w:t>
      </w:r>
    </w:p>
    <w:p>
      <w:pPr>
        <w:keepNext/>
        <w:spacing w:after="60"/>
      </w:pPr>
      <w:r>
        <w:rPr>
          <w:rFonts w:ascii="Calibri" w:hAnsi="Calibri" w:cs="Calibri" w:eastAsia="Calibri"/>
          <w:b/>
          <w:sz w:val="20"/>
        </w:rPr>
        <w:t>Tabla 3.1. Etapas de la ejecución</w:t>
      </w:r>
    </w:p>
    <w:tbl>
      <w:tblPr>
        <w:tblStyle w:val="TableGrid"/>
        <w:tblW w:type="auto" w:w="0"/>
        <w:jc w:val="center"/>
        <w:tblLayout w:type="fixed"/>
        <w:tblLook w:firstColumn="1" w:firstRow="1" w:lastColumn="0" w:lastRow="0" w:noHBand="0" w:noVBand="1" w:val="04A0"/>
      </w:tblPr>
      <w:tblGrid>
        <w:gridCol w:w="1587"/>
        <w:gridCol w:w="3175"/>
        <w:gridCol w:w="1134"/>
        <w:gridCol w:w="1927"/>
        <w:gridCol w:w="2041"/>
      </w:tblGrid>
      <w:tr>
        <w:trPr>
          <w:tblHeader w:val="true"/>
        </w:trPr>
        <w:tc>
          <w:tcPr>
            <w:tcW w:type="dxa" w:w="1587"/>
            <w:shd w:val="clear" w:color="auto" w:fill="1F3A5F"/>
          </w:tcPr>
          <w:p>
            <w:r/>
            <w:r>
              <w:rPr>
                <w:rFonts w:ascii="Calibri" w:hAnsi="Calibri" w:cs="Calibri" w:eastAsia="Calibri"/>
                <w:b/>
                <w:color w:val="FFFFFF"/>
                <w:sz w:val="17"/>
              </w:rPr>
              <w:t>Etapa</w:t>
            </w:r>
          </w:p>
        </w:tc>
        <w:tc>
          <w:tcPr>
            <w:tcW w:type="dxa" w:w="3175"/>
            <w:shd w:val="clear" w:color="auto" w:fill="1F3A5F"/>
          </w:tcPr>
          <w:p>
            <w:r/>
            <w:r>
              <w:rPr>
                <w:rFonts w:ascii="Calibri" w:hAnsi="Calibri" w:cs="Calibri" w:eastAsia="Calibri"/>
                <w:b/>
                <w:color w:val="FFFFFF"/>
                <w:sz w:val="17"/>
              </w:rPr>
              <w:t>Qué se hace</w:t>
            </w:r>
          </w:p>
        </w:tc>
        <w:tc>
          <w:tcPr>
            <w:tcW w:type="dxa" w:w="1134"/>
            <w:shd w:val="clear" w:color="auto" w:fill="1F3A5F"/>
          </w:tcPr>
          <w:p>
            <w:r/>
            <w:r>
              <w:rPr>
                <w:rFonts w:ascii="Calibri" w:hAnsi="Calibri" w:cs="Calibri" w:eastAsia="Calibri"/>
                <w:b/>
                <w:color w:val="FFFFFF"/>
                <w:sz w:val="17"/>
              </w:rPr>
              <w:t>Cuándo</w:t>
            </w:r>
          </w:p>
        </w:tc>
        <w:tc>
          <w:tcPr>
            <w:tcW w:type="dxa" w:w="1928"/>
            <w:shd w:val="clear" w:color="auto" w:fill="1F3A5F"/>
          </w:tcPr>
          <w:p>
            <w:r/>
            <w:r>
              <w:rPr>
                <w:rFonts w:ascii="Calibri" w:hAnsi="Calibri" w:cs="Calibri" w:eastAsia="Calibri"/>
                <w:b/>
                <w:color w:val="FFFFFF"/>
                <w:sz w:val="17"/>
              </w:rPr>
              <w:t>Responsable</w:t>
            </w:r>
          </w:p>
        </w:tc>
        <w:tc>
          <w:tcPr>
            <w:tcW w:type="dxa" w:w="2041"/>
            <w:shd w:val="clear" w:color="auto" w:fill="1F3A5F"/>
          </w:tcPr>
          <w:p>
            <w:r/>
            <w:r>
              <w:rPr>
                <w:rFonts w:ascii="Calibri" w:hAnsi="Calibri" w:cs="Calibri" w:eastAsia="Calibri"/>
                <w:b/>
                <w:color w:val="FFFFFF"/>
                <w:sz w:val="17"/>
              </w:rPr>
              <w:t>Termina cuando</w:t>
            </w:r>
          </w:p>
        </w:tc>
      </w:tr>
      <w:tr>
        <w:tc>
          <w:tcPr>
            <w:tcW w:type="dxa" w:w="1587"/>
          </w:tcPr>
          <w:p>
            <w:pPr>
              <w:spacing w:after="0" w:line="240" w:lineRule="auto"/>
            </w:pPr>
            <w:r/>
            <w:r>
              <w:rPr>
                <w:rFonts w:ascii="Calibri" w:hAnsi="Calibri" w:cs="Calibri" w:eastAsia="Calibri"/>
                <w:b w:val="0"/>
                <w:sz w:val="17"/>
              </w:rPr>
              <w:t>1. Preparación</w:t>
            </w:r>
          </w:p>
        </w:tc>
        <w:tc>
          <w:tcPr>
            <w:tcW w:type="dxa" w:w="3175"/>
          </w:tcPr>
          <w:p>
            <w:pPr>
              <w:spacing w:after="0" w:line="240" w:lineRule="auto"/>
            </w:pPr>
            <w:r/>
            <w:r>
              <w:rPr>
                <w:rFonts w:ascii="Calibri" w:hAnsi="Calibri" w:cs="Calibri" w:eastAsia="Calibri"/>
                <w:b w:val="0"/>
                <w:sz w:val="17"/>
              </w:rPr>
              <w:t>Docker arriba en los cuatro equipos, cuentas de prueba sintéticas, SonarQube instalado</w:t>
            </w:r>
          </w:p>
        </w:tc>
        <w:tc>
          <w:tcPr>
            <w:tcW w:type="dxa" w:w="1134"/>
          </w:tcPr>
          <w:p>
            <w:pPr>
              <w:spacing w:after="0" w:line="240" w:lineRule="auto"/>
            </w:pPr>
            <w:r/>
            <w:r>
              <w:rPr>
                <w:rFonts w:ascii="Calibri" w:hAnsi="Calibri" w:cs="Calibri" w:eastAsia="Calibri"/>
                <w:b w:val="0"/>
                <w:sz w:val="17"/>
              </w:rPr>
              <w:t>D−13</w:t>
            </w:r>
          </w:p>
        </w:tc>
        <w:tc>
          <w:tcPr>
            <w:tcW w:type="dxa" w:w="1928"/>
          </w:tcPr>
          <w:p>
            <w:pPr>
              <w:spacing w:after="0" w:line="240" w:lineRule="auto"/>
            </w:pPr>
            <w:r/>
            <w:r>
              <w:rPr>
                <w:rFonts w:ascii="Calibri" w:hAnsi="Calibri" w:cs="Calibri" w:eastAsia="Calibri"/>
                <w:b w:val="0"/>
                <w:sz w:val="17"/>
              </w:rPr>
              <w:t>Ari (Skarlett en SonarQube)</w:t>
            </w:r>
          </w:p>
        </w:tc>
        <w:tc>
          <w:tcPr>
            <w:tcW w:type="dxa" w:w="2041"/>
          </w:tcPr>
          <w:p>
            <w:pPr>
              <w:spacing w:after="0" w:line="240" w:lineRule="auto"/>
            </w:pPr>
            <w:r/>
            <w:r>
              <w:rPr>
                <w:rFonts w:ascii="Calibri" w:hAnsi="Calibri" w:cs="Calibri" w:eastAsia="Calibri"/>
                <w:b w:val="0"/>
                <w:sz w:val="17"/>
              </w:rPr>
              <w:t>Los tres contenedores responden y /docs abre</w:t>
            </w:r>
          </w:p>
        </w:tc>
      </w:tr>
      <w:tr>
        <w:tc>
          <w:tcPr>
            <w:tcW w:type="dxa" w:w="1587"/>
            <w:shd w:val="clear" w:color="auto" w:fill="EEF2F7"/>
          </w:tcPr>
          <w:p>
            <w:pPr>
              <w:spacing w:after="0" w:line="240" w:lineRule="auto"/>
            </w:pPr>
            <w:r/>
            <w:r>
              <w:rPr>
                <w:rFonts w:ascii="Calibri" w:hAnsi="Calibri" w:cs="Calibri" w:eastAsia="Calibri"/>
                <w:b w:val="0"/>
                <w:sz w:val="17"/>
              </w:rPr>
              <w:t>2. Diseño</w:t>
            </w:r>
          </w:p>
        </w:tc>
        <w:tc>
          <w:tcPr>
            <w:tcW w:type="dxa" w:w="3175"/>
            <w:shd w:val="clear" w:color="auto" w:fill="EEF2F7"/>
          </w:tcPr>
          <w:p>
            <w:pPr>
              <w:spacing w:after="0" w:line="240" w:lineRule="auto"/>
            </w:pPr>
            <w:r/>
            <w:r>
              <w:rPr>
                <w:rFonts w:ascii="Calibri" w:hAnsi="Calibri" w:cs="Calibri" w:eastAsia="Calibri"/>
                <w:b w:val="0"/>
                <w:sz w:val="17"/>
              </w:rPr>
              <w:t>Matriz 40/40, fichas de casos y revisión cruzada</w:t>
            </w:r>
          </w:p>
        </w:tc>
        <w:tc>
          <w:tcPr>
            <w:tcW w:type="dxa" w:w="1134"/>
            <w:shd w:val="clear" w:color="auto" w:fill="EEF2F7"/>
          </w:tcPr>
          <w:p>
            <w:pPr>
              <w:spacing w:after="0" w:line="240" w:lineRule="auto"/>
            </w:pPr>
            <w:r/>
            <w:r>
              <w:rPr>
                <w:rFonts w:ascii="Calibri" w:hAnsi="Calibri" w:cs="Calibri" w:eastAsia="Calibri"/>
                <w:b w:val="0"/>
                <w:sz w:val="17"/>
              </w:rPr>
              <w:t>D−12 a D−9</w:t>
            </w:r>
          </w:p>
        </w:tc>
        <w:tc>
          <w:tcPr>
            <w:tcW w:type="dxa" w:w="1928"/>
            <w:shd w:val="clear" w:color="auto" w:fill="EEF2F7"/>
          </w:tcPr>
          <w:p>
            <w:pPr>
              <w:spacing w:after="0" w:line="240" w:lineRule="auto"/>
            </w:pPr>
            <w:r/>
            <w:r>
              <w:rPr>
                <w:rFonts w:ascii="Calibri" w:hAnsi="Calibri" w:cs="Calibri" w:eastAsia="Calibri"/>
                <w:b w:val="0"/>
                <w:sz w:val="17"/>
              </w:rPr>
              <w:t>Giannina (matriz), Nicolás (fichas)</w:t>
            </w:r>
          </w:p>
        </w:tc>
        <w:tc>
          <w:tcPr>
            <w:tcW w:type="dxa" w:w="2041"/>
            <w:shd w:val="clear" w:color="auto" w:fill="EEF2F7"/>
          </w:tcPr>
          <w:p>
            <w:pPr>
              <w:spacing w:after="0" w:line="240" w:lineRule="auto"/>
            </w:pPr>
            <w:r/>
            <w:r>
              <w:rPr>
                <w:rFonts w:ascii="Calibri" w:hAnsi="Calibri" w:cs="Calibri" w:eastAsia="Calibri"/>
                <w:b w:val="0"/>
                <w:sz w:val="17"/>
              </w:rPr>
              <w:t>Ningún código del ERS sin caso</w:t>
            </w:r>
          </w:p>
        </w:tc>
      </w:tr>
      <w:tr>
        <w:tc>
          <w:tcPr>
            <w:tcW w:type="dxa" w:w="1587"/>
          </w:tcPr>
          <w:p>
            <w:pPr>
              <w:spacing w:after="0" w:line="240" w:lineRule="auto"/>
            </w:pPr>
            <w:r/>
            <w:r>
              <w:rPr>
                <w:rFonts w:ascii="Calibri" w:hAnsi="Calibri" w:cs="Calibri" w:eastAsia="Calibri"/>
                <w:b w:val="0"/>
                <w:sz w:val="17"/>
              </w:rPr>
              <w:t>3. Ciclo 1, humo</w:t>
            </w:r>
          </w:p>
        </w:tc>
        <w:tc>
          <w:tcPr>
            <w:tcW w:type="dxa" w:w="3175"/>
          </w:tcPr>
          <w:p>
            <w:pPr>
              <w:spacing w:after="0" w:line="240" w:lineRule="auto"/>
            </w:pPr>
            <w:r/>
            <w:r>
              <w:rPr>
                <w:rFonts w:ascii="Calibri" w:hAnsi="Calibri" w:cs="Calibri" w:eastAsia="Calibri"/>
                <w:b w:val="0"/>
                <w:sz w:val="17"/>
              </w:rPr>
              <w:t>Login de los tres roles, home, listado de pacientes y consulta de un examen</w:t>
            </w:r>
          </w:p>
        </w:tc>
        <w:tc>
          <w:tcPr>
            <w:tcW w:type="dxa" w:w="1134"/>
          </w:tcPr>
          <w:p>
            <w:pPr>
              <w:spacing w:after="0" w:line="240" w:lineRule="auto"/>
            </w:pPr>
            <w:r/>
            <w:r>
              <w:rPr>
                <w:rFonts w:ascii="Calibri" w:hAnsi="Calibri" w:cs="Calibri" w:eastAsia="Calibri"/>
                <w:b w:val="0"/>
                <w:sz w:val="17"/>
              </w:rPr>
              <w:t>D−8</w:t>
            </w:r>
          </w:p>
        </w:tc>
        <w:tc>
          <w:tcPr>
            <w:tcW w:type="dxa" w:w="1928"/>
          </w:tcPr>
          <w:p>
            <w:pPr>
              <w:spacing w:after="0" w:line="240" w:lineRule="auto"/>
            </w:pPr>
            <w:r/>
            <w:r>
              <w:rPr>
                <w:rFonts w:ascii="Calibri" w:hAnsi="Calibri" w:cs="Calibri" w:eastAsia="Calibri"/>
                <w:b w:val="0"/>
                <w:sz w:val="17"/>
              </w:rPr>
              <w:t>Nicolás</w:t>
            </w:r>
          </w:p>
        </w:tc>
        <w:tc>
          <w:tcPr>
            <w:tcW w:type="dxa" w:w="2041"/>
          </w:tcPr>
          <w:p>
            <w:pPr>
              <w:spacing w:after="0" w:line="240" w:lineRule="auto"/>
            </w:pPr>
            <w:r/>
            <w:r>
              <w:rPr>
                <w:rFonts w:ascii="Calibri" w:hAnsi="Calibri" w:cs="Calibri" w:eastAsia="Calibri"/>
                <w:b w:val="0"/>
                <w:sz w:val="17"/>
              </w:rPr>
              <w:t>Ruta crítica funciona o queda registrada como Bloqueado</w:t>
            </w:r>
          </w:p>
        </w:tc>
      </w:tr>
      <w:tr>
        <w:tc>
          <w:tcPr>
            <w:tcW w:type="dxa" w:w="1587"/>
            <w:shd w:val="clear" w:color="auto" w:fill="EEF2F7"/>
          </w:tcPr>
          <w:p>
            <w:pPr>
              <w:spacing w:after="0" w:line="240" w:lineRule="auto"/>
            </w:pPr>
            <w:r/>
            <w:r>
              <w:rPr>
                <w:rFonts w:ascii="Calibri" w:hAnsi="Calibri" w:cs="Calibri" w:eastAsia="Calibri"/>
                <w:b w:val="0"/>
                <w:sz w:val="17"/>
              </w:rPr>
              <w:t>4. Ciclo 2, ejecución completa</w:t>
            </w:r>
          </w:p>
        </w:tc>
        <w:tc>
          <w:tcPr>
            <w:tcW w:type="dxa" w:w="3175"/>
            <w:shd w:val="clear" w:color="auto" w:fill="EEF2F7"/>
          </w:tcPr>
          <w:p>
            <w:pPr>
              <w:spacing w:after="0" w:line="240" w:lineRule="auto"/>
            </w:pPr>
            <w:r/>
            <w:r>
              <w:rPr>
                <w:rFonts w:ascii="Calibri" w:hAnsi="Calibri" w:cs="Calibri" w:eastAsia="Calibri"/>
                <w:b w:val="0"/>
                <w:sz w:val="17"/>
              </w:rPr>
              <w:t>CP-01 a CP-23, DAST autenticado, JMeter con y sin el retraso de 5 s, SonarQube</w:t>
            </w:r>
          </w:p>
        </w:tc>
        <w:tc>
          <w:tcPr>
            <w:tcW w:type="dxa" w:w="1134"/>
            <w:shd w:val="clear" w:color="auto" w:fill="EEF2F7"/>
          </w:tcPr>
          <w:p>
            <w:pPr>
              <w:spacing w:after="0" w:line="240" w:lineRule="auto"/>
            </w:pPr>
            <w:r/>
            <w:r>
              <w:rPr>
                <w:rFonts w:ascii="Calibri" w:hAnsi="Calibri" w:cs="Calibri" w:eastAsia="Calibri"/>
                <w:b w:val="0"/>
                <w:sz w:val="17"/>
              </w:rPr>
              <w:t>D−8 a D−6</w:t>
            </w:r>
          </w:p>
        </w:tc>
        <w:tc>
          <w:tcPr>
            <w:tcW w:type="dxa" w:w="1928"/>
            <w:shd w:val="clear" w:color="auto" w:fill="EEF2F7"/>
          </w:tcPr>
          <w:p>
            <w:pPr>
              <w:spacing w:after="0" w:line="240" w:lineRule="auto"/>
            </w:pPr>
            <w:r/>
            <w:r>
              <w:rPr>
                <w:rFonts w:ascii="Calibri" w:hAnsi="Calibri" w:cs="Calibri" w:eastAsia="Calibri"/>
                <w:b w:val="0"/>
                <w:sz w:val="17"/>
              </w:rPr>
              <w:t>Nicolás, Skarlett y Ari</w:t>
            </w:r>
          </w:p>
        </w:tc>
        <w:tc>
          <w:tcPr>
            <w:tcW w:type="dxa" w:w="2041"/>
            <w:shd w:val="clear" w:color="auto" w:fill="EEF2F7"/>
          </w:tcPr>
          <w:p>
            <w:pPr>
              <w:spacing w:after="0" w:line="240" w:lineRule="auto"/>
            </w:pPr>
            <w:r/>
            <w:r>
              <w:rPr>
                <w:rFonts w:ascii="Calibri" w:hAnsi="Calibri" w:cs="Calibri" w:eastAsia="Calibri"/>
                <w:b w:val="0"/>
                <w:sz w:val="17"/>
              </w:rPr>
              <w:t>Bitácora completa con fecha, ejecutor y evidencia</w:t>
            </w:r>
          </w:p>
        </w:tc>
      </w:tr>
      <w:tr>
        <w:tc>
          <w:tcPr>
            <w:tcW w:type="dxa" w:w="1587"/>
          </w:tcPr>
          <w:p>
            <w:pPr>
              <w:spacing w:after="0" w:line="240" w:lineRule="auto"/>
            </w:pPr>
            <w:r/>
            <w:r>
              <w:rPr>
                <w:rFonts w:ascii="Calibri" w:hAnsi="Calibri" w:cs="Calibri" w:eastAsia="Calibri"/>
                <w:b w:val="0"/>
                <w:sz w:val="17"/>
              </w:rPr>
              <w:t>5. Regresión y cierre</w:t>
            </w:r>
          </w:p>
        </w:tc>
        <w:tc>
          <w:tcPr>
            <w:tcW w:type="dxa" w:w="3175"/>
          </w:tcPr>
          <w:p>
            <w:pPr>
              <w:spacing w:after="0" w:line="240" w:lineRule="auto"/>
            </w:pPr>
            <w:r/>
            <w:r>
              <w:rPr>
                <w:rFonts w:ascii="Calibri" w:hAnsi="Calibri" w:cs="Calibri" w:eastAsia="Calibri"/>
                <w:b w:val="0"/>
                <w:sz w:val="17"/>
              </w:rPr>
              <w:t>Reejecución de los casos fallidos que se corrijan, clasificación de incidentes, dictamen</w:t>
            </w:r>
          </w:p>
        </w:tc>
        <w:tc>
          <w:tcPr>
            <w:tcW w:type="dxa" w:w="1134"/>
          </w:tcPr>
          <w:p>
            <w:pPr>
              <w:spacing w:after="0" w:line="240" w:lineRule="auto"/>
            </w:pPr>
            <w:r/>
            <w:r>
              <w:rPr>
                <w:rFonts w:ascii="Calibri" w:hAnsi="Calibri" w:cs="Calibri" w:eastAsia="Calibri"/>
                <w:b w:val="0"/>
                <w:sz w:val="17"/>
              </w:rPr>
              <w:t>D−5 a D−4</w:t>
            </w:r>
          </w:p>
        </w:tc>
        <w:tc>
          <w:tcPr>
            <w:tcW w:type="dxa" w:w="1928"/>
          </w:tcPr>
          <w:p>
            <w:pPr>
              <w:spacing w:after="0" w:line="240" w:lineRule="auto"/>
            </w:pPr>
            <w:r/>
            <w:r>
              <w:rPr>
                <w:rFonts w:ascii="Calibri" w:hAnsi="Calibri" w:cs="Calibri" w:eastAsia="Calibri"/>
                <w:b w:val="0"/>
                <w:sz w:val="17"/>
              </w:rPr>
              <w:t>Ari (criticidad), Giannina (dictamen)</w:t>
            </w:r>
          </w:p>
        </w:tc>
        <w:tc>
          <w:tcPr>
            <w:tcW w:type="dxa" w:w="2041"/>
          </w:tcPr>
          <w:p>
            <w:pPr>
              <w:spacing w:after="0" w:line="240" w:lineRule="auto"/>
            </w:pPr>
            <w:r/>
            <w:r>
              <w:rPr>
                <w:rFonts w:ascii="Calibri" w:hAnsi="Calibri" w:cs="Calibri" w:eastAsia="Calibri"/>
                <w:b w:val="0"/>
                <w:sz w:val="17"/>
              </w:rPr>
              <w:t>Cada incidente con severidad y evidencia; dictamen escrito</w:t>
            </w:r>
          </w:p>
        </w:tc>
      </w:tr>
    </w:tbl>
    <w:p>
      <w:pPr>
        <w:spacing w:after="40"/>
      </w:pPr>
    </w:p>
    <w:p>
      <w:pPr>
        <w:pStyle w:val="Heading2"/>
      </w:pPr>
      <w:r>
        <w:t>Priorización por riesgo</w:t>
      </w:r>
    </w:p>
    <w:p>
      <w:pPr>
        <w:jc w:val="both"/>
      </w:pPr>
      <w:r>
        <w:rPr>
          <w:rFonts w:ascii="Calibri" w:hAnsi="Calibri" w:cs="Calibri" w:eastAsia="Calibri"/>
          <w:i w:val="0"/>
          <w:sz w:val="22"/>
        </w:rPr>
        <w:t>Mantenemos la priorización de la EV1 porque sigue reflejando dónde está el mayor impacto. P0 agrupa autenticación, control de acceso y documentos clínicos, donde una falla expone datos de salud. P1 cubre auditoría, registros y respaldo, que son la evidencia que el centro necesita frente a un incidente. P2 es el CRUD clínico, núcleo del negocio. P3 corresponde a rendimiento y disponibilidad, con umbrales numéricos en el ERS, y P4 a usabilidad y compatibilidad. Si falta tiempo, se ejecuta primero todo P0 y P1; un caso P3 o P4 sin ejecutar se informa como No ejecutado, nunca como aprobado.</w:t>
      </w:r>
    </w:p>
    <w:p>
      <w:pPr>
        <w:pStyle w:val="Heading2"/>
      </w:pPr>
      <w:r>
        <w:t>Herramientas por tipo de prueba</w:t>
      </w:r>
    </w:p>
    <w:p>
      <w:pPr>
        <w:keepNext/>
        <w:spacing w:after="60"/>
      </w:pPr>
      <w:r>
        <w:rPr>
          <w:rFonts w:ascii="Calibri" w:hAnsi="Calibri" w:cs="Calibri" w:eastAsia="Calibri"/>
          <w:b/>
          <w:sz w:val="20"/>
        </w:rPr>
        <w:t>Tabla 3.2. Herramientas de la EP3</w:t>
      </w:r>
    </w:p>
    <w:tbl>
      <w:tblPr>
        <w:tblStyle w:val="TableGrid"/>
        <w:tblW w:type="auto" w:w="0"/>
        <w:jc w:val="center"/>
        <w:tblLayout w:type="fixed"/>
        <w:tblLook w:firstColumn="1" w:firstRow="1" w:lastColumn="0" w:lastRow="0" w:noHBand="0" w:noVBand="1" w:val="04A0"/>
      </w:tblPr>
      <w:tblGrid>
        <w:gridCol w:w="1814"/>
        <w:gridCol w:w="5443"/>
        <w:gridCol w:w="2608"/>
      </w:tblGrid>
      <w:tr>
        <w:trPr>
          <w:tblHeader w:val="true"/>
        </w:trPr>
        <w:tc>
          <w:tcPr>
            <w:tcW w:type="dxa" w:w="1814"/>
            <w:shd w:val="clear" w:color="auto" w:fill="1F3A5F"/>
          </w:tcPr>
          <w:p>
            <w:r/>
            <w:r>
              <w:rPr>
                <w:rFonts w:ascii="Calibri" w:hAnsi="Calibri" w:cs="Calibri" w:eastAsia="Calibri"/>
                <w:b/>
                <w:color w:val="FFFFFF"/>
                <w:sz w:val="17"/>
              </w:rPr>
              <w:t>Herramienta</w:t>
            </w:r>
          </w:p>
        </w:tc>
        <w:tc>
          <w:tcPr>
            <w:tcW w:type="dxa" w:w="5443"/>
            <w:shd w:val="clear" w:color="auto" w:fill="1F3A5F"/>
          </w:tcPr>
          <w:p>
            <w:r/>
            <w:r>
              <w:rPr>
                <w:rFonts w:ascii="Calibri" w:hAnsi="Calibri" w:cs="Calibri" w:eastAsia="Calibri"/>
                <w:b/>
                <w:color w:val="FFFFFF"/>
                <w:sz w:val="17"/>
              </w:rPr>
              <w:t>Uso en Cuidarte+</w:t>
            </w:r>
          </w:p>
        </w:tc>
        <w:tc>
          <w:tcPr>
            <w:tcW w:type="dxa" w:w="2608"/>
            <w:shd w:val="clear" w:color="auto" w:fill="1F3A5F"/>
          </w:tcPr>
          <w:p>
            <w:r/>
            <w:r>
              <w:rPr>
                <w:rFonts w:ascii="Calibri" w:hAnsi="Calibri" w:cs="Calibri" w:eastAsia="Calibri"/>
                <w:b/>
                <w:color w:val="FFFFFF"/>
                <w:sz w:val="17"/>
              </w:rPr>
              <w:t>Casos</w:t>
            </w:r>
          </w:p>
        </w:tc>
      </w:tr>
      <w:tr>
        <w:tc>
          <w:tcPr>
            <w:tcW w:type="dxa" w:w="1814"/>
          </w:tcPr>
          <w:p>
            <w:pPr>
              <w:spacing w:after="0" w:line="240" w:lineRule="auto"/>
            </w:pPr>
            <w:r/>
            <w:r>
              <w:rPr>
                <w:rFonts w:ascii="Calibri" w:hAnsi="Calibri" w:cs="Calibri" w:eastAsia="Calibri"/>
                <w:b w:val="0"/>
                <w:sz w:val="17"/>
              </w:rPr>
              <w:t>Selenium</w:t>
            </w:r>
          </w:p>
        </w:tc>
        <w:tc>
          <w:tcPr>
            <w:tcW w:type="dxa" w:w="5443"/>
          </w:tcPr>
          <w:p>
            <w:pPr>
              <w:spacing w:after="0" w:line="240" w:lineRule="auto"/>
            </w:pPr>
            <w:r/>
            <w:r>
              <w:rPr>
                <w:rFonts w:ascii="Calibri" w:hAnsi="Calibri" w:cs="Calibri" w:eastAsia="Calibri"/>
                <w:b w:val="0"/>
                <w:sz w:val="17"/>
              </w:rPr>
              <w:t>Automatización de flujos por rol en el frontend y prueba en varios navegadores</w:t>
            </w:r>
          </w:p>
        </w:tc>
        <w:tc>
          <w:tcPr>
            <w:tcW w:type="dxa" w:w="2608"/>
          </w:tcPr>
          <w:p>
            <w:pPr>
              <w:spacing w:after="0" w:line="240" w:lineRule="auto"/>
            </w:pPr>
            <w:r/>
            <w:r>
              <w:rPr>
                <w:rFonts w:ascii="Calibri" w:hAnsi="Calibri" w:cs="Calibri" w:eastAsia="Calibri"/>
                <w:b w:val="0"/>
                <w:sz w:val="17"/>
              </w:rPr>
              <w:t>CP-01, 02, 08 a 12, 22</w:t>
            </w:r>
          </w:p>
        </w:tc>
      </w:tr>
      <w:tr>
        <w:tc>
          <w:tcPr>
            <w:tcW w:type="dxa" w:w="1814"/>
            <w:shd w:val="clear" w:color="auto" w:fill="EEF2F7"/>
          </w:tcPr>
          <w:p>
            <w:pPr>
              <w:spacing w:after="0" w:line="240" w:lineRule="auto"/>
            </w:pPr>
            <w:r/>
            <w:r>
              <w:rPr>
                <w:rFonts w:ascii="Calibri" w:hAnsi="Calibri" w:cs="Calibri" w:eastAsia="Calibri"/>
                <w:b w:val="0"/>
                <w:sz w:val="17"/>
              </w:rPr>
              <w:t>Postman / Swagger</w:t>
            </w:r>
          </w:p>
        </w:tc>
        <w:tc>
          <w:tcPr>
            <w:tcW w:type="dxa" w:w="5443"/>
            <w:shd w:val="clear" w:color="auto" w:fill="EEF2F7"/>
          </w:tcPr>
          <w:p>
            <w:pPr>
              <w:spacing w:after="0" w:line="240" w:lineRule="auto"/>
            </w:pPr>
            <w:r/>
            <w:r>
              <w:rPr>
                <w:rFonts w:ascii="Calibri" w:hAnsi="Calibri" w:cs="Calibri" w:eastAsia="Calibri"/>
                <w:b w:val="0"/>
                <w:sz w:val="17"/>
              </w:rPr>
              <w:t>Pruebas de API, códigos HTTP y reutilización de tokens</w:t>
            </w:r>
          </w:p>
        </w:tc>
        <w:tc>
          <w:tcPr>
            <w:tcW w:type="dxa" w:w="2608"/>
            <w:shd w:val="clear" w:color="auto" w:fill="EEF2F7"/>
          </w:tcPr>
          <w:p>
            <w:pPr>
              <w:spacing w:after="0" w:line="240" w:lineRule="auto"/>
            </w:pPr>
            <w:r/>
            <w:r>
              <w:rPr>
                <w:rFonts w:ascii="Calibri" w:hAnsi="Calibri" w:cs="Calibri" w:eastAsia="Calibri"/>
                <w:b w:val="0"/>
                <w:sz w:val="17"/>
              </w:rPr>
              <w:t>CP-01, 03, 07, 08, 11 a 13</w:t>
            </w:r>
          </w:p>
        </w:tc>
      </w:tr>
      <w:tr>
        <w:tc>
          <w:tcPr>
            <w:tcW w:type="dxa" w:w="1814"/>
          </w:tcPr>
          <w:p>
            <w:pPr>
              <w:spacing w:after="0" w:line="240" w:lineRule="auto"/>
            </w:pPr>
            <w:r/>
            <w:r>
              <w:rPr>
                <w:rFonts w:ascii="Calibri" w:hAnsi="Calibri" w:cs="Calibri" w:eastAsia="Calibri"/>
                <w:b w:val="0"/>
                <w:sz w:val="17"/>
              </w:rPr>
              <w:t>OWASP ZAP</w:t>
            </w:r>
          </w:p>
        </w:tc>
        <w:tc>
          <w:tcPr>
            <w:tcW w:type="dxa" w:w="5443"/>
          </w:tcPr>
          <w:p>
            <w:pPr>
              <w:spacing w:after="0" w:line="240" w:lineRule="auto"/>
            </w:pPr>
            <w:r/>
            <w:r>
              <w:rPr>
                <w:rFonts w:ascii="Calibri" w:hAnsi="Calibri" w:cs="Calibri" w:eastAsia="Calibri"/>
                <w:b w:val="0"/>
                <w:sz w:val="17"/>
              </w:rPr>
              <w:t>Análisis dinámico autenticado con token de médico y de paciente</w:t>
            </w:r>
          </w:p>
        </w:tc>
        <w:tc>
          <w:tcPr>
            <w:tcW w:type="dxa" w:w="2608"/>
          </w:tcPr>
          <w:p>
            <w:pPr>
              <w:spacing w:after="0" w:line="240" w:lineRule="auto"/>
            </w:pPr>
            <w:r/>
            <w:r>
              <w:rPr>
                <w:rFonts w:ascii="Calibri" w:hAnsi="Calibri" w:cs="Calibri" w:eastAsia="Calibri"/>
                <w:b w:val="0"/>
                <w:sz w:val="17"/>
              </w:rPr>
              <w:t>CP-04</w:t>
            </w:r>
          </w:p>
        </w:tc>
      </w:tr>
      <w:tr>
        <w:tc>
          <w:tcPr>
            <w:tcW w:type="dxa" w:w="1814"/>
            <w:shd w:val="clear" w:color="auto" w:fill="EEF2F7"/>
          </w:tcPr>
          <w:p>
            <w:pPr>
              <w:spacing w:after="0" w:line="240" w:lineRule="auto"/>
            </w:pPr>
            <w:r/>
            <w:r>
              <w:rPr>
                <w:rFonts w:ascii="Calibri" w:hAnsi="Calibri" w:cs="Calibri" w:eastAsia="Calibri"/>
                <w:b w:val="0"/>
                <w:sz w:val="17"/>
              </w:rPr>
              <w:t>Burp Suite</w:t>
            </w:r>
          </w:p>
        </w:tc>
        <w:tc>
          <w:tcPr>
            <w:tcW w:type="dxa" w:w="5443"/>
            <w:shd w:val="clear" w:color="auto" w:fill="EEF2F7"/>
          </w:tcPr>
          <w:p>
            <w:pPr>
              <w:spacing w:after="0" w:line="240" w:lineRule="auto"/>
            </w:pPr>
            <w:r/>
            <w:r>
              <w:rPr>
                <w:rFonts w:ascii="Calibri" w:hAnsi="Calibri" w:cs="Calibri" w:eastAsia="Calibri"/>
                <w:b w:val="0"/>
                <w:sz w:val="17"/>
              </w:rPr>
              <w:t>Manipulación manual de peticiones (roles, identificadores, cabeceras)</w:t>
            </w:r>
          </w:p>
        </w:tc>
        <w:tc>
          <w:tcPr>
            <w:tcW w:type="dxa" w:w="2608"/>
            <w:shd w:val="clear" w:color="auto" w:fill="EEF2F7"/>
          </w:tcPr>
          <w:p>
            <w:pPr>
              <w:spacing w:after="0" w:line="240" w:lineRule="auto"/>
            </w:pPr>
            <w:r/>
            <w:r>
              <w:rPr>
                <w:rFonts w:ascii="Calibri" w:hAnsi="Calibri" w:cs="Calibri" w:eastAsia="Calibri"/>
                <w:b w:val="0"/>
                <w:sz w:val="17"/>
              </w:rPr>
              <w:t>CP-04, CP-17</w:t>
            </w:r>
          </w:p>
        </w:tc>
      </w:tr>
      <w:tr>
        <w:tc>
          <w:tcPr>
            <w:tcW w:type="dxa" w:w="1814"/>
          </w:tcPr>
          <w:p>
            <w:pPr>
              <w:spacing w:after="0" w:line="240" w:lineRule="auto"/>
            </w:pPr>
            <w:r/>
            <w:r>
              <w:rPr>
                <w:rFonts w:ascii="Calibri" w:hAnsi="Calibri" w:cs="Calibri" w:eastAsia="Calibri"/>
                <w:b w:val="0"/>
                <w:sz w:val="17"/>
              </w:rPr>
              <w:t>Nikto</w:t>
            </w:r>
          </w:p>
        </w:tc>
        <w:tc>
          <w:tcPr>
            <w:tcW w:type="dxa" w:w="5443"/>
          </w:tcPr>
          <w:p>
            <w:pPr>
              <w:spacing w:after="0" w:line="240" w:lineRule="auto"/>
            </w:pPr>
            <w:r/>
            <w:r>
              <w:rPr>
                <w:rFonts w:ascii="Calibri" w:hAnsi="Calibri" w:cs="Calibri" w:eastAsia="Calibri"/>
                <w:b w:val="0"/>
                <w:sz w:val="17"/>
              </w:rPr>
              <w:t>Revisión de configuración del servidor web y cabeceras</w:t>
            </w:r>
          </w:p>
        </w:tc>
        <w:tc>
          <w:tcPr>
            <w:tcW w:type="dxa" w:w="2608"/>
          </w:tcPr>
          <w:p>
            <w:pPr>
              <w:spacing w:after="0" w:line="240" w:lineRule="auto"/>
            </w:pPr>
            <w:r/>
            <w:r>
              <w:rPr>
                <w:rFonts w:ascii="Calibri" w:hAnsi="Calibri" w:cs="Calibri" w:eastAsia="Calibri"/>
                <w:b w:val="0"/>
                <w:sz w:val="17"/>
              </w:rPr>
              <w:t>CP-04, CP-14</w:t>
            </w:r>
          </w:p>
        </w:tc>
      </w:tr>
      <w:tr>
        <w:tc>
          <w:tcPr>
            <w:tcW w:type="dxa" w:w="1814"/>
            <w:shd w:val="clear" w:color="auto" w:fill="EEF2F7"/>
          </w:tcPr>
          <w:p>
            <w:pPr>
              <w:spacing w:after="0" w:line="240" w:lineRule="auto"/>
            </w:pPr>
            <w:r/>
            <w:r>
              <w:rPr>
                <w:rFonts w:ascii="Calibri" w:hAnsi="Calibri" w:cs="Calibri" w:eastAsia="Calibri"/>
                <w:b w:val="0"/>
                <w:sz w:val="17"/>
              </w:rPr>
              <w:t>SQLMap</w:t>
            </w:r>
          </w:p>
        </w:tc>
        <w:tc>
          <w:tcPr>
            <w:tcW w:type="dxa" w:w="5443"/>
            <w:shd w:val="clear" w:color="auto" w:fill="EEF2F7"/>
          </w:tcPr>
          <w:p>
            <w:pPr>
              <w:spacing w:after="0" w:line="240" w:lineRule="auto"/>
            </w:pPr>
            <w:r/>
            <w:r>
              <w:rPr>
                <w:rFonts w:ascii="Calibri" w:hAnsi="Calibri" w:cs="Calibri" w:eastAsia="Calibri"/>
                <w:b w:val="0"/>
                <w:sz w:val="17"/>
              </w:rPr>
              <w:t>Inyección SQL en login y parámetros de rutas</w:t>
            </w:r>
          </w:p>
        </w:tc>
        <w:tc>
          <w:tcPr>
            <w:tcW w:type="dxa" w:w="2608"/>
            <w:shd w:val="clear" w:color="auto" w:fill="EEF2F7"/>
          </w:tcPr>
          <w:p>
            <w:pPr>
              <w:spacing w:after="0" w:line="240" w:lineRule="auto"/>
            </w:pPr>
            <w:r/>
            <w:r>
              <w:rPr>
                <w:rFonts w:ascii="Calibri" w:hAnsi="Calibri" w:cs="Calibri" w:eastAsia="Calibri"/>
                <w:b w:val="0"/>
                <w:sz w:val="17"/>
              </w:rPr>
              <w:t>CP-04</w:t>
            </w:r>
          </w:p>
        </w:tc>
      </w:tr>
      <w:tr>
        <w:tc>
          <w:tcPr>
            <w:tcW w:type="dxa" w:w="1814"/>
          </w:tcPr>
          <w:p>
            <w:pPr>
              <w:spacing w:after="0" w:line="240" w:lineRule="auto"/>
            </w:pPr>
            <w:r/>
            <w:r>
              <w:rPr>
                <w:rFonts w:ascii="Calibri" w:hAnsi="Calibri" w:cs="Calibri" w:eastAsia="Calibri"/>
                <w:b w:val="0"/>
                <w:sz w:val="17"/>
              </w:rPr>
              <w:t>John the Ripper</w:t>
            </w:r>
          </w:p>
        </w:tc>
        <w:tc>
          <w:tcPr>
            <w:tcW w:type="dxa" w:w="5443"/>
          </w:tcPr>
          <w:p>
            <w:pPr>
              <w:spacing w:after="0" w:line="240" w:lineRule="auto"/>
            </w:pPr>
            <w:r/>
            <w:r>
              <w:rPr>
                <w:rFonts w:ascii="Calibri" w:hAnsi="Calibri" w:cs="Calibri" w:eastAsia="Calibri"/>
                <w:b w:val="0"/>
                <w:sz w:val="17"/>
              </w:rPr>
              <w:t>Resistencia de las contraseñas almacenadas en la base de prueba</w:t>
            </w:r>
          </w:p>
        </w:tc>
        <w:tc>
          <w:tcPr>
            <w:tcW w:type="dxa" w:w="2608"/>
          </w:tcPr>
          <w:p>
            <w:pPr>
              <w:spacing w:after="0" w:line="240" w:lineRule="auto"/>
            </w:pPr>
            <w:r/>
            <w:r>
              <w:rPr>
                <w:rFonts w:ascii="Calibri" w:hAnsi="Calibri" w:cs="Calibri" w:eastAsia="Calibri"/>
                <w:b w:val="0"/>
                <w:sz w:val="17"/>
              </w:rPr>
              <w:t>CP-15</w:t>
            </w:r>
          </w:p>
        </w:tc>
      </w:tr>
      <w:tr>
        <w:tc>
          <w:tcPr>
            <w:tcW w:type="dxa" w:w="1814"/>
            <w:shd w:val="clear" w:color="auto" w:fill="EEF2F7"/>
          </w:tcPr>
          <w:p>
            <w:pPr>
              <w:spacing w:after="0" w:line="240" w:lineRule="auto"/>
            </w:pPr>
            <w:r/>
            <w:r>
              <w:rPr>
                <w:rFonts w:ascii="Calibri" w:hAnsi="Calibri" w:cs="Calibri" w:eastAsia="Calibri"/>
                <w:b w:val="0"/>
                <w:sz w:val="17"/>
              </w:rPr>
              <w:t>JMeter</w:t>
            </w:r>
          </w:p>
        </w:tc>
        <w:tc>
          <w:tcPr>
            <w:tcW w:type="dxa" w:w="5443"/>
            <w:shd w:val="clear" w:color="auto" w:fill="EEF2F7"/>
          </w:tcPr>
          <w:p>
            <w:pPr>
              <w:spacing w:after="0" w:line="240" w:lineRule="auto"/>
            </w:pPr>
            <w:r/>
            <w:r>
              <w:rPr>
                <w:rFonts w:ascii="Calibri" w:hAnsi="Calibri" w:cs="Calibri" w:eastAsia="Calibri"/>
                <w:b w:val="0"/>
                <w:sz w:val="17"/>
              </w:rPr>
              <w:t>Tiempo de respuesta CRUD, descarga de documentos y 200 usuarios concurrentes</w:t>
            </w:r>
          </w:p>
        </w:tc>
        <w:tc>
          <w:tcPr>
            <w:tcW w:type="dxa" w:w="2608"/>
            <w:shd w:val="clear" w:color="auto" w:fill="EEF2F7"/>
          </w:tcPr>
          <w:p>
            <w:pPr>
              <w:spacing w:after="0" w:line="240" w:lineRule="auto"/>
            </w:pPr>
            <w:r/>
            <w:r>
              <w:rPr>
                <w:rFonts w:ascii="Calibri" w:hAnsi="Calibri" w:cs="Calibri" w:eastAsia="Calibri"/>
                <w:b w:val="0"/>
                <w:sz w:val="17"/>
              </w:rPr>
              <w:t>CP-05, CP-13, CP-19</w:t>
            </w:r>
          </w:p>
        </w:tc>
      </w:tr>
      <w:tr>
        <w:tc>
          <w:tcPr>
            <w:tcW w:type="dxa" w:w="1814"/>
          </w:tcPr>
          <w:p>
            <w:pPr>
              <w:spacing w:after="0" w:line="240" w:lineRule="auto"/>
            </w:pPr>
            <w:r/>
            <w:r>
              <w:rPr>
                <w:rFonts w:ascii="Calibri" w:hAnsi="Calibri" w:cs="Calibri" w:eastAsia="Calibri"/>
                <w:b w:val="0"/>
                <w:sz w:val="17"/>
              </w:rPr>
              <w:t>SonarQube</w:t>
            </w:r>
          </w:p>
        </w:tc>
        <w:tc>
          <w:tcPr>
            <w:tcW w:type="dxa" w:w="5443"/>
          </w:tcPr>
          <w:p>
            <w:pPr>
              <w:spacing w:after="0" w:line="240" w:lineRule="auto"/>
            </w:pPr>
            <w:r/>
            <w:r>
              <w:rPr>
                <w:rFonts w:ascii="Calibri" w:hAnsi="Calibri" w:cs="Calibri" w:eastAsia="Calibri"/>
                <w:b w:val="0"/>
                <w:sz w:val="17"/>
              </w:rPr>
              <w:t>Análisis estático de BACKEND y FRONTEND, leído frente a OWASP y a la normativa</w:t>
            </w:r>
          </w:p>
        </w:tc>
        <w:tc>
          <w:tcPr>
            <w:tcW w:type="dxa" w:w="2608"/>
          </w:tcPr>
          <w:p>
            <w:pPr>
              <w:spacing w:after="0" w:line="240" w:lineRule="auto"/>
            </w:pPr>
            <w:r/>
            <w:r>
              <w:rPr>
                <w:rFonts w:ascii="Calibri" w:hAnsi="Calibri" w:cs="Calibri" w:eastAsia="Calibri"/>
                <w:b w:val="0"/>
                <w:sz w:val="17"/>
              </w:rPr>
              <w:t>CP-16, CP-17</w:t>
            </w:r>
          </w:p>
        </w:tc>
      </w:tr>
      <w:tr>
        <w:tc>
          <w:tcPr>
            <w:tcW w:type="dxa" w:w="1814"/>
            <w:shd w:val="clear" w:color="auto" w:fill="EEF2F7"/>
          </w:tcPr>
          <w:p>
            <w:pPr>
              <w:spacing w:after="0" w:line="240" w:lineRule="auto"/>
            </w:pPr>
            <w:r/>
            <w:r>
              <w:rPr>
                <w:rFonts w:ascii="Calibri" w:hAnsi="Calibri" w:cs="Calibri" w:eastAsia="Calibri"/>
                <w:b w:val="0"/>
                <w:sz w:val="17"/>
              </w:rPr>
              <w:t>Lighthouse</w:t>
            </w:r>
          </w:p>
        </w:tc>
        <w:tc>
          <w:tcPr>
            <w:tcW w:type="dxa" w:w="5443"/>
            <w:shd w:val="clear" w:color="auto" w:fill="EEF2F7"/>
          </w:tcPr>
          <w:p>
            <w:pPr>
              <w:spacing w:after="0" w:line="240" w:lineRule="auto"/>
            </w:pPr>
            <w:r/>
            <w:r>
              <w:rPr>
                <w:rFonts w:ascii="Calibri" w:hAnsi="Calibri" w:cs="Calibri" w:eastAsia="Calibri"/>
                <w:b w:val="0"/>
                <w:sz w:val="17"/>
              </w:rPr>
              <w:t>Tiempo de carga de la página principal y accesibilidad básica</w:t>
            </w:r>
          </w:p>
        </w:tc>
        <w:tc>
          <w:tcPr>
            <w:tcW w:type="dxa" w:w="2608"/>
            <w:shd w:val="clear" w:color="auto" w:fill="EEF2F7"/>
          </w:tcPr>
          <w:p>
            <w:pPr>
              <w:spacing w:after="0" w:line="240" w:lineRule="auto"/>
            </w:pPr>
            <w:r/>
            <w:r>
              <w:rPr>
                <w:rFonts w:ascii="Calibri" w:hAnsi="Calibri" w:cs="Calibri" w:eastAsia="Calibri"/>
                <w:b w:val="0"/>
                <w:sz w:val="17"/>
              </w:rPr>
              <w:t>CP-06, CP-19</w:t>
            </w:r>
          </w:p>
        </w:tc>
      </w:tr>
    </w:tbl>
    <w:p>
      <w:pPr>
        <w:spacing w:after="40"/>
      </w:pPr>
    </w:p>
    <w:p>
      <w:pPr>
        <w:jc w:val="both"/>
      </w:pPr>
      <w:r>
        <w:rPr>
          <w:rFonts w:ascii="Calibri" w:hAnsi="Calibri" w:cs="Calibri" w:eastAsia="Calibri"/>
          <w:i w:val="0"/>
          <w:sz w:val="22"/>
        </w:rPr>
        <w:t>Respecto de la EV1 se retiraron Jest y k6. El repositorio no tiene pruebas unitarias ni script de test, y las pruebas de carga se hicieron con JMeter, así que mantenerlos en el plan habría sido incoherente con lo que realmente usamos.</w:t>
      </w:r>
    </w:p>
    <w:p>
      <w:pPr>
        <w:pStyle w:val="Heading2"/>
      </w:pPr>
      <w:r>
        <w:t>Criterios de entrada</w:t>
      </w:r>
    </w:p>
    <w:p>
      <w:pPr>
        <w:jc w:val="both"/>
      </w:pPr>
      <w:r>
        <w:rPr>
          <w:rFonts w:ascii="Calibri" w:hAnsi="Calibri" w:cs="Calibri" w:eastAsia="Calibri"/>
          <w:i w:val="0"/>
          <w:sz w:val="22"/>
        </w:rPr>
        <w:t>La ejecución formal comienza cuando se cumplen cuatro condiciones: el ambiente Docker funciona con los tres contenedores en el equipo de quien ejecuta; existen cuentas de prueba para administrador, médico y paciente con datos sintéticos; la matriz tiene los 40 códigos con caso asignado, y cada caso que se va a ejecutar tiene resultado esperado y criterio de aceptación escritos.</w:t>
      </w:r>
    </w:p>
    <w:p>
      <w:pPr>
        <w:pStyle w:val="Heading2"/>
      </w:pPr>
      <w:r>
        <w:t>Criterios de salida</w:t>
      </w:r>
    </w:p>
    <w:p>
      <w:pPr>
        <w:jc w:val="both"/>
      </w:pPr>
      <w:r>
        <w:rPr>
          <w:rFonts w:ascii="Calibri" w:hAnsi="Calibri" w:cs="Calibri" w:eastAsia="Calibri"/>
          <w:i w:val="0"/>
          <w:sz w:val="22"/>
        </w:rPr>
        <w:t>Damos por terminado el ciclo cuando todos los casos P0 y P1 tienen un resultado registrado, cada falla tiene su incidente con severidad y evidencia legible, la matriz muestra los 40 códigos con un estado de ejecución, y el resumen de la sección 5.1 cuadra con la bitácora. Terminar el ciclo no significa aprobar el sistema: si queda un incidente crítico abierto, el ciclo se cierra igual, pero el dictamen es No certificado.</w:t>
      </w:r>
    </w:p>
    <w:p>
      <w:pPr>
        <w:pStyle w:val="Heading2"/>
      </w:pPr>
      <w:r>
        <w:t>Suspensión y reanudación</w:t>
      </w:r>
    </w:p>
    <w:p>
      <w:pPr>
        <w:jc w:val="both"/>
      </w:pPr>
      <w:r>
        <w:rPr>
          <w:rFonts w:ascii="Calibri" w:hAnsi="Calibri" w:cs="Calibri" w:eastAsia="Calibri"/>
          <w:i w:val="0"/>
          <w:sz w:val="22"/>
        </w:rPr>
        <w:t>Si el ciclo de humo falla en el login o en la carga de la home, la ejecución se suspende y los casos dependientes se registran como Bloqueado con la causa. Se reanuda cuando el ambiente vuelve a responder; los casos ya ejecutados no se repiten, salvo que el cambio afecte su resultado.</w:t>
      </w:r>
    </w:p>
    <w:p>
      <w:pPr>
        <w:pStyle w:val="Heading1"/>
      </w:pPr>
      <w:r>
        <w:t>3.3 Criterios de aceptación</w:t>
      </w:r>
    </w:p>
    <w:p>
      <w:pPr>
        <w:jc w:val="both"/>
      </w:pPr>
      <w:r>
        <w:rPr>
          <w:rFonts w:ascii="Calibri" w:hAnsi="Calibri" w:cs="Calibri" w:eastAsia="Calibri"/>
          <w:i w:val="0"/>
          <w:sz w:val="22"/>
        </w:rPr>
        <w:t>Estos criterios se aplican de forma transversal a todos los casos. Un caso puede tener además un criterio propio en su ficha, pero nunca uno más débil que el general.</w:t>
      </w:r>
    </w:p>
    <w:p>
      <w:pPr>
        <w:pStyle w:val="Heading2"/>
      </w:pPr>
      <w:r>
        <w:t>Criterio general</w:t>
      </w:r>
    </w:p>
    <w:p>
      <w:pPr>
        <w:jc w:val="both"/>
      </w:pPr>
      <w:r>
        <w:rPr>
          <w:rFonts w:ascii="Calibri" w:hAnsi="Calibri" w:cs="Calibri" w:eastAsia="Calibri"/>
          <w:i w:val="0"/>
          <w:sz w:val="22"/>
        </w:rPr>
        <w:t>Un caso se marca como Aprobado solo si el resultado observado coincide con el resultado esperado, se respeta la regla de negocio que corresponde (RB-1, RB-2 o RB-3), ningún dato clínico queda visible para un rol no autorizado y existe evidencia legible en la bitácora. Si aparece un problema de seguridad o de cumplimiento, el caso se marca como Falla aunque la pantalla muestre un comportamiento aparentemente correcto.</w:t>
      </w:r>
    </w:p>
    <w:p>
      <w:pPr>
        <w:pStyle w:val="Heading2"/>
      </w:pPr>
      <w:r>
        <w:t>Estados de resultado</w:t>
      </w:r>
    </w:p>
    <w:p>
      <w:pPr>
        <w:keepNext/>
        <w:spacing w:after="60"/>
      </w:pPr>
      <w:r>
        <w:rPr>
          <w:rFonts w:ascii="Calibri" w:hAnsi="Calibri" w:cs="Calibri" w:eastAsia="Calibri"/>
          <w:b/>
          <w:sz w:val="20"/>
        </w:rPr>
        <w:t>Tabla 3.3. Estados de resultado</w:t>
      </w:r>
    </w:p>
    <w:tbl>
      <w:tblPr>
        <w:tblStyle w:val="TableGrid"/>
        <w:tblW w:type="auto" w:w="0"/>
        <w:jc w:val="center"/>
        <w:tblLayout w:type="fixed"/>
        <w:tblLook w:firstColumn="1" w:firstRow="1" w:lastColumn="0" w:lastRow="0" w:noHBand="0" w:noVBand="1" w:val="04A0"/>
      </w:tblPr>
      <w:tblGrid>
        <w:gridCol w:w="1701"/>
        <w:gridCol w:w="8051"/>
      </w:tblGrid>
      <w:tr>
        <w:trPr>
          <w:tblHeader w:val="true"/>
        </w:trPr>
        <w:tc>
          <w:tcPr>
            <w:tcW w:type="dxa" w:w="1701"/>
            <w:shd w:val="clear" w:color="auto" w:fill="1F3A5F"/>
          </w:tcPr>
          <w:p>
            <w:r/>
            <w:r>
              <w:rPr>
                <w:rFonts w:ascii="Calibri" w:hAnsi="Calibri" w:cs="Calibri" w:eastAsia="Calibri"/>
                <w:b/>
                <w:color w:val="FFFFFF"/>
                <w:sz w:val="18"/>
              </w:rPr>
              <w:t>Estado</w:t>
            </w:r>
          </w:p>
        </w:tc>
        <w:tc>
          <w:tcPr>
            <w:tcW w:type="dxa" w:w="8050"/>
            <w:shd w:val="clear" w:color="auto" w:fill="1F3A5F"/>
          </w:tcPr>
          <w:p>
            <w:r/>
            <w:r>
              <w:rPr>
                <w:rFonts w:ascii="Calibri" w:hAnsi="Calibri" w:cs="Calibri" w:eastAsia="Calibri"/>
                <w:b/>
                <w:color w:val="FFFFFF"/>
                <w:sz w:val="18"/>
              </w:rPr>
              <w:t>Cuándo se usa</w:t>
            </w:r>
          </w:p>
        </w:tc>
      </w:tr>
      <w:tr>
        <w:tc>
          <w:tcPr>
            <w:tcW w:type="dxa" w:w="1701"/>
          </w:tcPr>
          <w:p>
            <w:pPr>
              <w:spacing w:after="0" w:line="240" w:lineRule="auto"/>
            </w:pPr>
            <w:r/>
            <w:r>
              <w:rPr>
                <w:rFonts w:ascii="Calibri" w:hAnsi="Calibri" w:cs="Calibri" w:eastAsia="Calibri"/>
                <w:b w:val="0"/>
                <w:sz w:val="18"/>
              </w:rPr>
              <w:t>Aprobado</w:t>
            </w:r>
          </w:p>
        </w:tc>
        <w:tc>
          <w:tcPr>
            <w:tcW w:type="dxa" w:w="8050"/>
          </w:tcPr>
          <w:p>
            <w:pPr>
              <w:spacing w:after="0" w:line="240" w:lineRule="auto"/>
            </w:pPr>
            <w:r/>
            <w:r>
              <w:rPr>
                <w:rFonts w:ascii="Calibri" w:hAnsi="Calibri" w:cs="Calibri" w:eastAsia="Calibri"/>
                <w:b w:val="0"/>
                <w:sz w:val="18"/>
              </w:rPr>
              <w:t>Se cumplen todas las condiciones del criterio general y del criterio propio del caso</w:t>
            </w:r>
          </w:p>
        </w:tc>
      </w:tr>
      <w:tr>
        <w:tc>
          <w:tcPr>
            <w:tcW w:type="dxa" w:w="1701"/>
            <w:shd w:val="clear" w:color="auto" w:fill="EEF2F7"/>
          </w:tcPr>
          <w:p>
            <w:pPr>
              <w:spacing w:after="0" w:line="240" w:lineRule="auto"/>
            </w:pPr>
            <w:r/>
            <w:r>
              <w:rPr>
                <w:rFonts w:ascii="Calibri" w:hAnsi="Calibri" w:cs="Calibri" w:eastAsia="Calibri"/>
                <w:b w:val="0"/>
                <w:sz w:val="18"/>
              </w:rPr>
              <w:t>Falla</w:t>
            </w:r>
          </w:p>
        </w:tc>
        <w:tc>
          <w:tcPr>
            <w:tcW w:type="dxa" w:w="8050"/>
            <w:shd w:val="clear" w:color="auto" w:fill="EEF2F7"/>
          </w:tcPr>
          <w:p>
            <w:pPr>
              <w:spacing w:after="0" w:line="240" w:lineRule="auto"/>
            </w:pPr>
            <w:r/>
            <w:r>
              <w:rPr>
                <w:rFonts w:ascii="Calibri" w:hAnsi="Calibri" w:cs="Calibri" w:eastAsia="Calibri"/>
                <w:b w:val="0"/>
                <w:sz w:val="18"/>
              </w:rPr>
              <w:t>El resultado difiere del esperado o se detecta un problema de seguridad o cumplimiento. Requiere incidente con severidad</w:t>
            </w:r>
          </w:p>
        </w:tc>
      </w:tr>
      <w:tr>
        <w:tc>
          <w:tcPr>
            <w:tcW w:type="dxa" w:w="1701"/>
          </w:tcPr>
          <w:p>
            <w:pPr>
              <w:spacing w:after="0" w:line="240" w:lineRule="auto"/>
            </w:pPr>
            <w:r/>
            <w:r>
              <w:rPr>
                <w:rFonts w:ascii="Calibri" w:hAnsi="Calibri" w:cs="Calibri" w:eastAsia="Calibri"/>
                <w:b w:val="0"/>
                <w:sz w:val="18"/>
              </w:rPr>
              <w:t>Bloqueado</w:t>
            </w:r>
          </w:p>
        </w:tc>
        <w:tc>
          <w:tcPr>
            <w:tcW w:type="dxa" w:w="8050"/>
          </w:tcPr>
          <w:p>
            <w:pPr>
              <w:spacing w:after="0" w:line="240" w:lineRule="auto"/>
            </w:pPr>
            <w:r/>
            <w:r>
              <w:rPr>
                <w:rFonts w:ascii="Calibri" w:hAnsi="Calibri" w:cs="Calibri" w:eastAsia="Calibri"/>
                <w:b w:val="0"/>
                <w:sz w:val="18"/>
              </w:rPr>
              <w:t>El caso no se puede ejecutar por una causa externa (ambiente caído, dependencia de otro caso fallido). Se anota la causa</w:t>
            </w:r>
          </w:p>
        </w:tc>
      </w:tr>
      <w:tr>
        <w:tc>
          <w:tcPr>
            <w:tcW w:type="dxa" w:w="1701"/>
            <w:shd w:val="clear" w:color="auto" w:fill="EEF2F7"/>
          </w:tcPr>
          <w:p>
            <w:pPr>
              <w:spacing w:after="0" w:line="240" w:lineRule="auto"/>
            </w:pPr>
            <w:r/>
            <w:r>
              <w:rPr>
                <w:rFonts w:ascii="Calibri" w:hAnsi="Calibri" w:cs="Calibri" w:eastAsia="Calibri"/>
                <w:b w:val="0"/>
                <w:sz w:val="18"/>
              </w:rPr>
              <w:t>No ejecutado</w:t>
            </w:r>
          </w:p>
        </w:tc>
        <w:tc>
          <w:tcPr>
            <w:tcW w:type="dxa" w:w="8050"/>
            <w:shd w:val="clear" w:color="auto" w:fill="EEF2F7"/>
          </w:tcPr>
          <w:p>
            <w:pPr>
              <w:spacing w:after="0" w:line="240" w:lineRule="auto"/>
            </w:pPr>
            <w:r/>
            <w:r>
              <w:rPr>
                <w:rFonts w:ascii="Calibri" w:hAnsi="Calibri" w:cs="Calibri" w:eastAsia="Calibri"/>
                <w:b w:val="0"/>
                <w:sz w:val="18"/>
              </w:rPr>
              <w:t>El caso no alcanzó a ejecutarse en el ciclo. Se informa como tal y no cuenta como cobertura de ejecución</w:t>
            </w:r>
          </w:p>
        </w:tc>
      </w:tr>
    </w:tbl>
    <w:p>
      <w:pPr>
        <w:spacing w:after="40"/>
      </w:pPr>
    </w:p>
    <w:p>
      <w:pPr>
        <w:pStyle w:val="Heading2"/>
      </w:pPr>
      <w:r>
        <w:t>Criterios funcionales</w:t>
      </w:r>
    </w:p>
    <w:p>
      <w:pPr>
        <w:jc w:val="both"/>
      </w:pPr>
      <w:r>
        <w:rPr>
          <w:rFonts w:ascii="Calibri" w:hAnsi="Calibri" w:cs="Calibri" w:eastAsia="Calibri"/>
          <w:i w:val="0"/>
          <w:sz w:val="22"/>
        </w:rPr>
        <w:t>Las operaciones CRUD deben funcionar y validar los datos en el servidor, no solo en el formulario (ERS §3.1.2). El login correcto entrega un JWT y el cierre de sesión debe invalidarlo (criterio de RF-1). Las eliminaciones de exámenes y documentos deben pedir confirmación y ser lógicas (criterio de RF-3). La subida y la descarga de documentos no deben superar 10 segundos (criterio de RF-4), y cada acción crítica, incluida la descarga, debe generar un registro de auditoría (criterio de RF-5).</w:t>
      </w:r>
    </w:p>
    <w:p>
      <w:pPr>
        <w:pStyle w:val="Heading2"/>
      </w:pPr>
      <w:r>
        <w:t>Criterios no funcionales</w:t>
      </w:r>
    </w:p>
    <w:p>
      <w:pPr>
        <w:jc w:val="both"/>
      </w:pPr>
      <w:r>
        <w:rPr>
          <w:rFonts w:ascii="Calibri" w:hAnsi="Calibri" w:cs="Calibri" w:eastAsia="Calibri"/>
          <w:i w:val="0"/>
          <w:sz w:val="22"/>
        </w:rPr>
        <w:t>Para seguridad se exige que la auditoría con checklist y las pruebas de penetración no muestren hallazgos críticos, que es el criterio de aceptación que fija el ERS en la sección 3.3.1. En rendimiento, una operación CRUD simple debe responder bajo 300 ms en el percentil 95 con carga normal, la página principal debe cargar en menos de 2 segundos en una conexión móvil promedio y el sistema debe sostener 200 usuarios concurrentes. Las mediciones de rendimiento valen solo si se hacen con el retraso artificial de 5 segundos desactivado; la medición con el retraso activo se informa aparte para mostrar el efecto de INC-04. En usabilidad, la prueba con cinco usuarios representativos, incluidos adultos mayores, no debe mostrar bloqueos mayores (ERS §3.1.1). En compatibilidad, los flujos principales deben funcionar en las dos últimas versiones de Chrome, Firefox, Safari y Edge y en vistas de móvil y tablet.</w:t>
      </w:r>
    </w:p>
    <w:p>
      <w:pPr>
        <w:pStyle w:val="Heading2"/>
      </w:pPr>
      <w:r>
        <w:t>Criterios de reglas de negocio</w:t>
      </w:r>
    </w:p>
    <w:p>
      <w:pPr>
        <w:jc w:val="both"/>
      </w:pPr>
      <w:r>
        <w:rPr>
          <w:rFonts w:ascii="Calibri" w:hAnsi="Calibri" w:cs="Calibri" w:eastAsia="Calibri"/>
          <w:i w:val="0"/>
          <w:sz w:val="22"/>
        </w:rPr>
        <w:t>Con token de paciente, toda operación de escritura debe responder 403 (RB-1) y el paciente solo puede ver sus propios exámenes y documentos. Las operaciones de administración de usuarios y roles deben estar disponibles para el administrador y rechazadas para cualquier otro rol (RB-2). RB-3 se acepta si el médico accede a la información clínica de los pacientes, tal como está escrita en el ERS, y se registra al mismo tiempo la observación de cumplimiento OC-01 descrita en la sección 6.3.</w:t>
      </w:r>
    </w:p>
    <w:p>
      <w:pPr>
        <w:pStyle w:val="Heading2"/>
      </w:pPr>
      <w:r>
        <w:t>Criterios normativos</w:t>
      </w:r>
    </w:p>
    <w:p>
      <w:pPr>
        <w:jc w:val="both"/>
      </w:pPr>
      <w:r>
        <w:rPr>
          <w:rFonts w:ascii="Calibri" w:hAnsi="Calibri" w:cs="Calibri" w:eastAsia="Calibri"/>
          <w:i w:val="0"/>
          <w:sz w:val="22"/>
        </w:rPr>
        <w:t>Además de los anteriores, el informe incorpora tres criterios que vienen de la ley y no del ERS. El acceso a la información clínica debe limitarse a quien participa en la atención y quedar registrado con fecha y persona (Ley 20.584 art. 13 y DS 41 art. 9); por eso la descarga sin registro de auditoría se considera falla. Los datos clínicos no se eliminan físicamente antes de 15 años (Ley 20.584 art. 13 y DS 41 art. 11). Las contraseñas y los secretos no pueden quedar en texto plano ni en el repositorio, como parte del deber de cuidado de la Ley 19.628 art. 11.</w:t>
      </w:r>
    </w:p>
    <w:p>
      <w:pPr>
        <w:pStyle w:val="Heading2"/>
      </w:pPr>
      <w:r>
        <w:t>Criterio de certificación</w:t>
      </w:r>
    </w:p>
    <w:p>
      <w:pPr>
        <w:jc w:val="both"/>
      </w:pPr>
      <w:r>
        <w:rPr>
          <w:rFonts w:ascii="Calibri" w:hAnsi="Calibri" w:cs="Calibri" w:eastAsia="Calibri"/>
          <w:i w:val="0"/>
          <w:sz w:val="22"/>
        </w:rPr>
        <w:t>El sistema puede recibir el dictamen Certificado solo si no hay incidentes críticos abiertos, todos los casos P0 están aprobados y la matriz muestra los 40 códigos ejecutados. Con incidentes graves abiertos que tengan plan de corrección, el dictamen máximo es Certificado con reservas. Con un incidente crítico abierto, el dictamen es No certificado, según la regla de la actividad 2.4.2 del curso.</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color w:val="666666"/>
        <w:sz w:val="16"/>
      </w:rPr>
      <w:t>ISY1102 · EP3 · Cuidarte+ (Caso B) · Giannina Guerrero · Sección 001V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