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eastAsia="Calibri"/>
          <w:b/>
          <w:color w:val="1F3A5F"/>
          <w:sz w:val="36"/>
        </w:rPr>
        <w:t>6. Análisis ético y normativo de los resultados</w:t>
      </w:r>
    </w:p>
    <w:p>
      <w:pPr>
        <w:spacing w:after="200"/>
      </w:pPr>
      <w:r>
        <w:rPr>
          <w:rFonts w:ascii="Calibri" w:hAnsi="Calibri" w:cs="Calibri" w:eastAsia="Calibri"/>
          <w:i/>
          <w:color w:val="555555"/>
          <w:sz w:val="20"/>
        </w:rPr>
        <w:t>Informe EP3 · Cuidarte+ (Caso B) · Elaborado por Giannina Guerrero · 19 de octubre de 2026</w:t>
      </w:r>
    </w:p>
    <w:p>
      <w:pPr>
        <w:pStyle w:val="Heading2"/>
      </w:pPr>
      <w:r>
        <w:t>6.1 Enfoque de esta sección</w:t>
      </w:r>
    </w:p>
    <w:p>
      <w:pPr>
        <w:jc w:val="both"/>
      </w:pPr>
      <w:r>
        <w:rPr>
          <w:rFonts w:ascii="Calibri" w:hAnsi="Calibri" w:cs="Calibri" w:eastAsia="Calibri"/>
          <w:i w:val="0"/>
          <w:sz w:val="22"/>
        </w:rPr>
        <w:t>En la EV1 construimos el marco legal casi por completo desde la protección de datos y la ciberseguridad. En la revisión presencial de la EV1 el profesor nos indicó que faltaba la normativa propia del caso, en particular la ley de derechos de los pacientes y lo relativo a la atención de urgencia, y nos pidió ajustar la información que no era coherente. Cuidarte+ guarda exámenes y documentos clínicos, por lo que la primera norma que lo regula es la que establece los derechos de los pacientes y las reglas de la ficha clínica. En la EV1 la Ley 20.584 aparecía solo como una línea suelta bajo la tabla, sin artículos y sin ninguna prueba asociada.</w:t>
      </w:r>
    </w:p>
    <w:p>
      <w:pPr>
        <w:jc w:val="both"/>
      </w:pPr>
      <w:r>
        <w:rPr>
          <w:rFonts w:ascii="Calibri" w:hAnsi="Calibri" w:cs="Calibri" w:eastAsia="Calibri"/>
          <w:i w:val="0"/>
          <w:sz w:val="22"/>
        </w:rPr>
        <w:t>Esta versión pone la normativa sanitaria en el centro (Ley 20.584, su modificación por la Ley 21.668 y el reglamento de fichas clínicas, Decreto 41 de 2012 del MINSAL), separa lo que está vigente hoy de lo que entra en vigencia en diciembre de 2026 y corrige las citas de la EV1 que no correspondían. El detalle de esas correcciones está en el documento de correcciones de la EV1 que acompaña este informe.</w:t>
      </w:r>
    </w:p>
    <w:p>
      <w:pPr>
        <w:jc w:val="both"/>
      </w:pPr>
      <w:r>
        <w:rPr>
          <w:rFonts w:ascii="Calibri" w:hAnsi="Calibri" w:cs="Calibri" w:eastAsia="Calibri"/>
          <w:i w:val="0"/>
          <w:sz w:val="22"/>
        </w:rPr>
        <w:t>Hay una precisión que ordena todo el análisis. La mayoría de estas leyes no obligan al software, sino a quien lo usa para tratar datos o atender pacientes, que en este caso es el centro de salud que opere Cuidarte+. CreaLab, como desarrollador, queda obligado de forma indirecta: si entrega un sistema que no permite cumplir la ley, el prestador tampoco podrá cumplirla. Por eso cada norma de la Tabla 6.1 termina en una exigencia que se puede verificar con un caso de prueba de la matriz.</w:t>
      </w:r>
    </w:p>
    <w:p>
      <w:pPr>
        <w:pStyle w:val="Heading2"/>
      </w:pPr>
      <w:r>
        <w:t>6.2 Marco normativo aplicable</w:t>
      </w:r>
    </w:p>
    <w:p>
      <w:pPr>
        <w:jc w:val="both"/>
      </w:pPr>
      <w:r>
        <w:rPr>
          <w:rFonts w:ascii="Calibri" w:hAnsi="Calibri" w:cs="Calibri" w:eastAsia="Calibri"/>
          <w:i w:val="0"/>
          <w:sz w:val="22"/>
        </w:rPr>
        <w:t>La vigencia de cada norma se revisó al 19 de octubre de 2026 en los textos publicados en LeyChile y en las copias entregadas en el curso.</w:t>
      </w:r>
    </w:p>
    <w:p>
      <w:pPr>
        <w:keepNext/>
        <w:spacing w:after="60"/>
      </w:pPr>
      <w:r>
        <w:rPr>
          <w:rFonts w:ascii="Calibri" w:hAnsi="Calibri" w:cs="Calibri" w:eastAsia="Calibri"/>
          <w:b/>
          <w:sz w:val="20"/>
        </w:rPr>
        <w:t>Tabla 6.1. Marco normativo aplicado a Cuidarte+</w:t>
      </w:r>
    </w:p>
    <w:tbl>
      <w:tblPr>
        <w:tblStyle w:val="TableGrid"/>
        <w:tblW w:type="auto" w:w="0"/>
        <w:jc w:val="center"/>
        <w:tblLayout w:type="fixed"/>
        <w:tblLook w:firstColumn="1" w:firstRow="1" w:lastColumn="0" w:lastRow="0" w:noHBand="0" w:noVBand="1" w:val="04A0"/>
      </w:tblPr>
      <w:tblGrid>
        <w:gridCol w:w="2041"/>
        <w:gridCol w:w="1474"/>
        <w:gridCol w:w="3402"/>
        <w:gridCol w:w="2835"/>
      </w:tblGrid>
      <w:tr>
        <w:trPr>
          <w:tblHeader w:val="true"/>
        </w:trPr>
        <w:tc>
          <w:tcPr>
            <w:tcW w:type="dxa" w:w="2041"/>
            <w:shd w:val="clear" w:color="auto" w:fill="1F3A5F"/>
          </w:tcPr>
          <w:p>
            <w:r/>
            <w:r>
              <w:rPr>
                <w:rFonts w:ascii="Calibri" w:hAnsi="Calibri" w:cs="Calibri" w:eastAsia="Calibri"/>
                <w:b/>
                <w:color w:val="FFFFFF"/>
                <w:sz w:val="17"/>
              </w:rPr>
              <w:t>Norma</w:t>
            </w:r>
          </w:p>
        </w:tc>
        <w:tc>
          <w:tcPr>
            <w:tcW w:type="dxa" w:w="1474"/>
            <w:shd w:val="clear" w:color="auto" w:fill="1F3A5F"/>
          </w:tcPr>
          <w:p>
            <w:r/>
            <w:r>
              <w:rPr>
                <w:rFonts w:ascii="Calibri" w:hAnsi="Calibri" w:cs="Calibri" w:eastAsia="Calibri"/>
                <w:b/>
                <w:color w:val="FFFFFF"/>
                <w:sz w:val="17"/>
              </w:rPr>
              <w:t>Estado al 19-10-2026</w:t>
            </w:r>
          </w:p>
        </w:tc>
        <w:tc>
          <w:tcPr>
            <w:tcW w:type="dxa" w:w="3402"/>
            <w:shd w:val="clear" w:color="auto" w:fill="1F3A5F"/>
          </w:tcPr>
          <w:p>
            <w:r/>
            <w:r>
              <w:rPr>
                <w:rFonts w:ascii="Calibri" w:hAnsi="Calibri" w:cs="Calibri" w:eastAsia="Calibri"/>
                <w:b/>
                <w:color w:val="FFFFFF"/>
                <w:sz w:val="17"/>
              </w:rPr>
              <w:t>Artículos considerados</w:t>
            </w:r>
          </w:p>
        </w:tc>
        <w:tc>
          <w:tcPr>
            <w:tcW w:type="dxa" w:w="2835"/>
            <w:shd w:val="clear" w:color="auto" w:fill="1F3A5F"/>
          </w:tcPr>
          <w:p>
            <w:r/>
            <w:r>
              <w:rPr>
                <w:rFonts w:ascii="Calibri" w:hAnsi="Calibri" w:cs="Calibri" w:eastAsia="Calibri"/>
                <w:b/>
                <w:color w:val="FFFFFF"/>
                <w:sz w:val="17"/>
              </w:rPr>
              <w:t>Exigencia para Cuidarte+ y caso que la verifica</w:t>
            </w:r>
          </w:p>
        </w:tc>
      </w:tr>
      <w:tr>
        <w:tc>
          <w:tcPr>
            <w:tcW w:type="dxa" w:w="2041"/>
          </w:tcPr>
          <w:p>
            <w:pPr>
              <w:spacing w:after="0" w:line="240" w:lineRule="auto"/>
            </w:pPr>
            <w:r/>
            <w:r>
              <w:rPr>
                <w:rFonts w:ascii="Calibri" w:hAnsi="Calibri" w:cs="Calibri" w:eastAsia="Calibri"/>
                <w:b w:val="0"/>
                <w:sz w:val="17"/>
              </w:rPr>
              <w:t>Ley 20.584, derechos y deberes de las personas en su atención de salud</w:t>
            </w:r>
          </w:p>
        </w:tc>
        <w:tc>
          <w:tcPr>
            <w:tcW w:type="dxa" w:w="1474"/>
          </w:tcPr>
          <w:p>
            <w:pPr>
              <w:spacing w:after="0" w:line="240" w:lineRule="auto"/>
            </w:pPr>
            <w:r/>
            <w:r>
              <w:rPr>
                <w:rFonts w:ascii="Calibri" w:hAnsi="Calibri" w:cs="Calibri" w:eastAsia="Calibri"/>
                <w:b w:val="0"/>
                <w:sz w:val="17"/>
              </w:rPr>
              <w:t>Vigente</w:t>
            </w:r>
          </w:p>
        </w:tc>
        <w:tc>
          <w:tcPr>
            <w:tcW w:type="dxa" w:w="3402"/>
          </w:tcPr>
          <w:p>
            <w:pPr>
              <w:spacing w:after="0" w:line="240" w:lineRule="auto"/>
            </w:pPr>
            <w:r/>
            <w:r>
              <w:rPr>
                <w:rFonts w:ascii="Calibri" w:hAnsi="Calibri" w:cs="Calibri" w:eastAsia="Calibri"/>
                <w:b w:val="0"/>
                <w:sz w:val="17"/>
              </w:rPr>
              <w:t>Art. 5 a) y 5° bis (información comprensible; atención preferente a mayores de 60 años y personas con discapacidad); art. 10 (información al paciente, con regla especial para urgencias); art. 12 (ficha clínica, soporte electrónico, autenticidad de los cambios; la información de exámenes y procedimientos es dato sensible); art. 13 (conservación por al menos 15 años, acceso oportuno del profesional tratante, prohibición de acceso de terceros no vinculados a la atención, copia al titular); art. 15 b) (urgencia sin consentimiento)</w:t>
            </w:r>
          </w:p>
        </w:tc>
        <w:tc>
          <w:tcPr>
            <w:tcW w:type="dxa" w:w="2835"/>
          </w:tcPr>
          <w:p>
            <w:pPr>
              <w:spacing w:after="0" w:line="240" w:lineRule="auto"/>
            </w:pPr>
            <w:r/>
            <w:r>
              <w:rPr>
                <w:rFonts w:ascii="Calibri" w:hAnsi="Calibri" w:cs="Calibri" w:eastAsia="Calibri"/>
                <w:b w:val="0"/>
                <w:sz w:val="17"/>
              </w:rPr>
              <w:t>Acceso solo para quien participa en la atención: CP-04, CP-10 y OC-01. Autenticidad de los cambios: CP-03 y CP-11. Copia al titular: CP-12 y CP-13. Conservación de 15 años: CP-11 (baja lógica)</w:t>
            </w:r>
          </w:p>
        </w:tc>
      </w:tr>
      <w:tr>
        <w:tc>
          <w:tcPr>
            <w:tcW w:type="dxa" w:w="2041"/>
            <w:shd w:val="clear" w:color="auto" w:fill="EEF2F7"/>
          </w:tcPr>
          <w:p>
            <w:pPr>
              <w:spacing w:after="0" w:line="240" w:lineRule="auto"/>
            </w:pPr>
            <w:r/>
            <w:r>
              <w:rPr>
                <w:rFonts w:ascii="Calibri" w:hAnsi="Calibri" w:cs="Calibri" w:eastAsia="Calibri"/>
                <w:b w:val="0"/>
                <w:sz w:val="17"/>
              </w:rPr>
              <w:t>Ley 21.668, interoperabilidad de fichas clínicas (modifica los arts. 12 y 13 de la Ley 20.584)</w:t>
            </w:r>
          </w:p>
        </w:tc>
        <w:tc>
          <w:tcPr>
            <w:tcW w:type="dxa" w:w="1474"/>
            <w:shd w:val="clear" w:color="auto" w:fill="EEF2F7"/>
          </w:tcPr>
          <w:p>
            <w:pPr>
              <w:spacing w:after="0" w:line="240" w:lineRule="auto"/>
            </w:pPr>
            <w:r/>
            <w:r>
              <w:rPr>
                <w:rFonts w:ascii="Calibri" w:hAnsi="Calibri" w:cs="Calibri" w:eastAsia="Calibri"/>
                <w:b w:val="0"/>
                <w:sz w:val="17"/>
              </w:rPr>
              <w:t>Vigente desde su publicación (28-05-2024)</w:t>
            </w:r>
          </w:p>
        </w:tc>
        <w:tc>
          <w:tcPr>
            <w:tcW w:type="dxa" w:w="3402"/>
            <w:shd w:val="clear" w:color="auto" w:fill="EEF2F7"/>
          </w:tcPr>
          <w:p>
            <w:pPr>
              <w:spacing w:after="0" w:line="240" w:lineRule="auto"/>
            </w:pPr>
            <w:r/>
            <w:r>
              <w:rPr>
                <w:rFonts w:ascii="Calibri" w:hAnsi="Calibri" w:cs="Calibri" w:eastAsia="Calibri"/>
                <w:b w:val="0"/>
                <w:sz w:val="17"/>
              </w:rPr>
              <w:t>Artículo único (nuevo texto de los arts. 12 y 13); art. tercero transitorio (el MINSAL debe actualizar el reglamento)</w:t>
            </w:r>
          </w:p>
        </w:tc>
        <w:tc>
          <w:tcPr>
            <w:tcW w:type="dxa" w:w="2835"/>
            <w:shd w:val="clear" w:color="auto" w:fill="EEF2F7"/>
          </w:tcPr>
          <w:p>
            <w:pPr>
              <w:spacing w:after="0" w:line="240" w:lineRule="auto"/>
            </w:pPr>
            <w:r/>
            <w:r>
              <w:rPr>
                <w:rFonts w:ascii="Calibri" w:hAnsi="Calibri" w:cs="Calibri" w:eastAsia="Calibri"/>
                <w:b w:val="0"/>
                <w:sz w:val="17"/>
              </w:rPr>
              <w:t>Si Cuidarte+ funciona como repositorio clínico, debe poder interoperar. No hay un estándar técnico publicado que podamos probar, así que queda como recomendación de diseño</w:t>
            </w:r>
          </w:p>
        </w:tc>
      </w:tr>
      <w:tr>
        <w:tc>
          <w:tcPr>
            <w:tcW w:type="dxa" w:w="2041"/>
          </w:tcPr>
          <w:p>
            <w:pPr>
              <w:spacing w:after="0" w:line="240" w:lineRule="auto"/>
            </w:pPr>
            <w:r/>
            <w:r>
              <w:rPr>
                <w:rFonts w:ascii="Calibri" w:hAnsi="Calibri" w:cs="Calibri" w:eastAsia="Calibri"/>
                <w:b w:val="0"/>
                <w:sz w:val="17"/>
              </w:rPr>
              <w:t>Decreto 41 de 2012, MINSAL, reglamento sobre fichas clínicas</w:t>
            </w:r>
          </w:p>
        </w:tc>
        <w:tc>
          <w:tcPr>
            <w:tcW w:type="dxa" w:w="1474"/>
          </w:tcPr>
          <w:p>
            <w:pPr>
              <w:spacing w:after="0" w:line="240" w:lineRule="auto"/>
            </w:pPr>
            <w:r/>
            <w:r>
              <w:rPr>
                <w:rFonts w:ascii="Calibri" w:hAnsi="Calibri" w:cs="Calibri" w:eastAsia="Calibri"/>
                <w:b w:val="0"/>
                <w:sz w:val="17"/>
              </w:rPr>
              <w:t>Vigente</w:t>
            </w:r>
          </w:p>
        </w:tc>
        <w:tc>
          <w:tcPr>
            <w:tcW w:type="dxa" w:w="3402"/>
          </w:tcPr>
          <w:p>
            <w:pPr>
              <w:spacing w:after="0" w:line="240" w:lineRule="auto"/>
            </w:pPr>
            <w:r/>
            <w:r>
              <w:rPr>
                <w:rFonts w:ascii="Calibri" w:hAnsi="Calibri" w:cs="Calibri" w:eastAsia="Calibri"/>
                <w:b w:val="0"/>
                <w:sz w:val="17"/>
              </w:rPr>
              <w:t>Art. 8 I (respaldo en cada incorporación, copia de seguridad fuera del sitio, barreras frente a accesos no autorizados, restauración); art. 9 (acceso controlado y registro de las fechas y personas que han accedido a las fichas); art. 11 (conservación de 15 años); art. 12 (eliminación con acta)</w:t>
            </w:r>
          </w:p>
        </w:tc>
        <w:tc>
          <w:tcPr>
            <w:tcW w:type="dxa" w:w="2835"/>
          </w:tcPr>
          <w:p>
            <w:pPr>
              <w:spacing w:after="0" w:line="240" w:lineRule="auto"/>
            </w:pPr>
            <w:r/>
            <w:r>
              <w:rPr>
                <w:rFonts w:ascii="Calibri" w:hAnsi="Calibri" w:cs="Calibri" w:eastAsia="Calibri"/>
                <w:b w:val="0"/>
                <w:sz w:val="17"/>
              </w:rPr>
              <w:t>Registro de lecturas y descargas: CP-03 (INC-13). Respaldo y restauración: CP-18. Barreras de acceso: CP-04 y CP-14. Eliminación controlada: CP-11 (INC-09)</w:t>
            </w:r>
          </w:p>
        </w:tc>
      </w:tr>
      <w:tr>
        <w:tc>
          <w:tcPr>
            <w:tcW w:type="dxa" w:w="2041"/>
            <w:shd w:val="clear" w:color="auto" w:fill="EEF2F7"/>
          </w:tcPr>
          <w:p>
            <w:pPr>
              <w:spacing w:after="0" w:line="240" w:lineRule="auto"/>
            </w:pPr>
            <w:r/>
            <w:r>
              <w:rPr>
                <w:rFonts w:ascii="Calibri" w:hAnsi="Calibri" w:cs="Calibri" w:eastAsia="Calibri"/>
                <w:b w:val="0"/>
                <w:sz w:val="17"/>
              </w:rPr>
              <w:t>Ley 19.628, sobre protección de la vida privada</w:t>
            </w:r>
          </w:p>
        </w:tc>
        <w:tc>
          <w:tcPr>
            <w:tcW w:type="dxa" w:w="1474"/>
            <w:shd w:val="clear" w:color="auto" w:fill="EEF2F7"/>
          </w:tcPr>
          <w:p>
            <w:pPr>
              <w:spacing w:after="0" w:line="240" w:lineRule="auto"/>
            </w:pPr>
            <w:r/>
            <w:r>
              <w:rPr>
                <w:rFonts w:ascii="Calibri" w:hAnsi="Calibri" w:cs="Calibri" w:eastAsia="Calibri"/>
                <w:b w:val="0"/>
                <w:sz w:val="17"/>
              </w:rPr>
              <w:t>Vigente en su texto actual hasta el 30-11-2026</w:t>
            </w:r>
          </w:p>
        </w:tc>
        <w:tc>
          <w:tcPr>
            <w:tcW w:type="dxa" w:w="3402"/>
            <w:shd w:val="clear" w:color="auto" w:fill="EEF2F7"/>
          </w:tcPr>
          <w:p>
            <w:pPr>
              <w:spacing w:after="0" w:line="240" w:lineRule="auto"/>
            </w:pPr>
            <w:r/>
            <w:r>
              <w:rPr>
                <w:rFonts w:ascii="Calibri" w:hAnsi="Calibri" w:cs="Calibri" w:eastAsia="Calibri"/>
                <w:b w:val="0"/>
                <w:sz w:val="17"/>
              </w:rPr>
              <w:t>Art. 2 g) (datos sensibles, incluye los estados de salud físicos o psíquicos); art. 7 (deber de secreto); art. 10 (los datos sensibles solo se tratan con autorización legal, consentimiento o para beneficios de salud); art. 11 (cuidado de los datos con la debida diligencia); art. 23 (indemnización por tratamiento indebido)</w:t>
            </w:r>
          </w:p>
        </w:tc>
        <w:tc>
          <w:tcPr>
            <w:tcW w:type="dxa" w:w="2835"/>
            <w:shd w:val="clear" w:color="auto" w:fill="EEF2F7"/>
          </w:tcPr>
          <w:p>
            <w:pPr>
              <w:spacing w:after="0" w:line="240" w:lineRule="auto"/>
            </w:pPr>
            <w:r/>
            <w:r>
              <w:rPr>
                <w:rFonts w:ascii="Calibri" w:hAnsi="Calibri" w:cs="Calibri" w:eastAsia="Calibri"/>
                <w:b w:val="0"/>
                <w:sz w:val="17"/>
              </w:rPr>
              <w:t>Hoy es la base de la responsabilidad por INC-01 (contraseñas en texto plano) e INC-02 (secreto JWT publicado). CP-15 y CP-01</w:t>
            </w:r>
          </w:p>
        </w:tc>
      </w:tr>
      <w:tr>
        <w:tc>
          <w:tcPr>
            <w:tcW w:type="dxa" w:w="2041"/>
          </w:tcPr>
          <w:p>
            <w:pPr>
              <w:spacing w:after="0" w:line="240" w:lineRule="auto"/>
            </w:pPr>
            <w:r/>
            <w:r>
              <w:rPr>
                <w:rFonts w:ascii="Calibri" w:hAnsi="Calibri" w:cs="Calibri" w:eastAsia="Calibri"/>
                <w:b w:val="0"/>
                <w:sz w:val="17"/>
              </w:rPr>
              <w:t>Ley 21.719, regula la protección y el tratamiento de los datos personales (reemplaza en gran parte el texto de la Ley 19.628)</w:t>
            </w:r>
          </w:p>
        </w:tc>
        <w:tc>
          <w:tcPr>
            <w:tcW w:type="dxa" w:w="1474"/>
          </w:tcPr>
          <w:p>
            <w:pPr>
              <w:spacing w:after="0" w:line="240" w:lineRule="auto"/>
            </w:pPr>
            <w:r/>
            <w:r>
              <w:rPr>
                <w:rFonts w:ascii="Calibri" w:hAnsi="Calibri" w:cs="Calibri" w:eastAsia="Calibri"/>
                <w:b w:val="0"/>
                <w:sz w:val="17"/>
              </w:rPr>
              <w:t>Publicada el 13-12-2024. Entra en vigencia el 01-12-2026 (art. primero transitorio: primer día del mes vigésimo cuarto posterior a la publicación)</w:t>
            </w:r>
          </w:p>
        </w:tc>
        <w:tc>
          <w:tcPr>
            <w:tcW w:type="dxa" w:w="3402"/>
          </w:tcPr>
          <w:p>
            <w:pPr>
              <w:spacing w:after="0" w:line="240" w:lineRule="auto"/>
            </w:pPr>
            <w:r/>
            <w:r>
              <w:rPr>
                <w:rFonts w:ascii="Calibri" w:hAnsi="Calibri" w:cs="Calibri" w:eastAsia="Calibri"/>
                <w:b w:val="0"/>
                <w:sz w:val="17"/>
              </w:rPr>
              <w:t>Nuevo texto de la Ley 19.628: art. 3 (principios, entre ellos proporcionalidad, seguridad y confidencialidad); art. 14 quinquies (medidas de seguridad); art. 14 sexies (reporte de vulneraciones); art. 16 bis (datos de salud); art. 34 ter y 34 quáter (infracciones graves y gravísimas); art. 35 (multas)</w:t>
            </w:r>
          </w:p>
        </w:tc>
        <w:tc>
          <w:tcPr>
            <w:tcW w:type="dxa" w:w="2835"/>
          </w:tcPr>
          <w:p>
            <w:pPr>
              <w:spacing w:after="0" w:line="240" w:lineRule="auto"/>
            </w:pPr>
            <w:r/>
            <w:r>
              <w:rPr>
                <w:rFonts w:ascii="Calibri" w:hAnsi="Calibri" w:cs="Calibri" w:eastAsia="Calibri"/>
                <w:b w:val="0"/>
                <w:sz w:val="17"/>
              </w:rPr>
              <w:t>Se cita como norma de vigencia inminente, no como vigente. Un sistema que se certifique ahora va a operar bajo esta ley en seis semanas. Cifrado en reposo: CP-16. Restauración: CP-18. Reporte de vulneraciones: recomendación 8</w:t>
            </w:r>
          </w:p>
        </w:tc>
      </w:tr>
      <w:tr>
        <w:tc>
          <w:tcPr>
            <w:tcW w:type="dxa" w:w="2041"/>
            <w:shd w:val="clear" w:color="auto" w:fill="EEF2F7"/>
          </w:tcPr>
          <w:p>
            <w:pPr>
              <w:spacing w:after="0" w:line="240" w:lineRule="auto"/>
            </w:pPr>
            <w:r/>
            <w:r>
              <w:rPr>
                <w:rFonts w:ascii="Calibri" w:hAnsi="Calibri" w:cs="Calibri" w:eastAsia="Calibri"/>
                <w:b w:val="0"/>
                <w:sz w:val="17"/>
              </w:rPr>
              <w:t>Ley 21.663, Ley Marco de Ciberseguridad</w:t>
            </w:r>
          </w:p>
        </w:tc>
        <w:tc>
          <w:tcPr>
            <w:tcW w:type="dxa" w:w="1474"/>
            <w:shd w:val="clear" w:color="auto" w:fill="EEF2F7"/>
          </w:tcPr>
          <w:p>
            <w:pPr>
              <w:spacing w:after="0" w:line="240" w:lineRule="auto"/>
            </w:pPr>
            <w:r/>
            <w:r>
              <w:rPr>
                <w:rFonts w:ascii="Calibri" w:hAnsi="Calibri" w:cs="Calibri" w:eastAsia="Calibri"/>
                <w:b w:val="0"/>
                <w:sz w:val="17"/>
              </w:rPr>
              <w:t>Vigente</w:t>
            </w:r>
          </w:p>
        </w:tc>
        <w:tc>
          <w:tcPr>
            <w:tcW w:type="dxa" w:w="3402"/>
            <w:shd w:val="clear" w:color="auto" w:fill="EEF2F7"/>
          </w:tcPr>
          <w:p>
            <w:pPr>
              <w:spacing w:after="0" w:line="240" w:lineRule="auto"/>
            </w:pPr>
            <w:r/>
            <w:r>
              <w:rPr>
                <w:rFonts w:ascii="Calibri" w:hAnsi="Calibri" w:cs="Calibri" w:eastAsia="Calibri"/>
                <w:b w:val="0"/>
                <w:sz w:val="17"/>
              </w:rPr>
              <w:t>Art. 4 (la prestación institucional de salud por hospitales, clínicas, consultorios y centros médicos es servicio esencial); art. 9 (alerta temprana al CSIRT Nacional dentro de tres horas); art. 27 (incidente de efecto significativo)</w:t>
            </w:r>
          </w:p>
        </w:tc>
        <w:tc>
          <w:tcPr>
            <w:tcW w:type="dxa" w:w="2835"/>
            <w:shd w:val="clear" w:color="auto" w:fill="EEF2F7"/>
          </w:tcPr>
          <w:p>
            <w:pPr>
              <w:spacing w:after="0" w:line="240" w:lineRule="auto"/>
            </w:pPr>
            <w:r/>
            <w:r>
              <w:rPr>
                <w:rFonts w:ascii="Calibri" w:hAnsi="Calibri" w:cs="Calibri" w:eastAsia="Calibri"/>
                <w:b w:val="0"/>
                <w:sz w:val="17"/>
              </w:rPr>
              <w:t>La obligada es la institución de salud, no la plataforma. El sistema debe dejar registros suficientes para que el centro pueda reportar a tiempo: CP-17 y CP-03</w:t>
            </w:r>
          </w:p>
        </w:tc>
      </w:tr>
      <w:tr>
        <w:tc>
          <w:tcPr>
            <w:tcW w:type="dxa" w:w="2041"/>
          </w:tcPr>
          <w:p>
            <w:pPr>
              <w:spacing w:after="0" w:line="240" w:lineRule="auto"/>
            </w:pPr>
            <w:r/>
            <w:r>
              <w:rPr>
                <w:rFonts w:ascii="Calibri" w:hAnsi="Calibri" w:cs="Calibri" w:eastAsia="Calibri"/>
                <w:b w:val="0"/>
                <w:sz w:val="17"/>
              </w:rPr>
              <w:t>DFL 1 de 2005, MINSAL, arts. 141 y 173 (atención de urgencia, texto que proviene de la Ley 19.650)</w:t>
            </w:r>
          </w:p>
        </w:tc>
        <w:tc>
          <w:tcPr>
            <w:tcW w:type="dxa" w:w="1474"/>
          </w:tcPr>
          <w:p>
            <w:pPr>
              <w:spacing w:after="0" w:line="240" w:lineRule="auto"/>
            </w:pPr>
            <w:r/>
            <w:r>
              <w:rPr>
                <w:rFonts w:ascii="Calibri" w:hAnsi="Calibri" w:cs="Calibri" w:eastAsia="Calibri"/>
                <w:b w:val="0"/>
                <w:sz w:val="17"/>
              </w:rPr>
              <w:t>Vigente</w:t>
            </w:r>
          </w:p>
        </w:tc>
        <w:tc>
          <w:tcPr>
            <w:tcW w:type="dxa" w:w="3402"/>
          </w:tcPr>
          <w:p>
            <w:pPr>
              <w:spacing w:after="0" w:line="240" w:lineRule="auto"/>
            </w:pPr>
            <w:r/>
            <w:r>
              <w:rPr>
                <w:rFonts w:ascii="Calibri" w:hAnsi="Calibri" w:cs="Calibri" w:eastAsia="Calibri"/>
                <w:b w:val="0"/>
                <w:sz w:val="17"/>
              </w:rPr>
              <w:t>Prohíbe exigir cheques, dinero u otros instrumentos para garantizar el pago o condicionar la atención de urgencia, y consultar sistemas de información comercial para condicionarla o restringirla</w:t>
            </w:r>
          </w:p>
        </w:tc>
        <w:tc>
          <w:tcPr>
            <w:tcW w:type="dxa" w:w="2835"/>
          </w:tcPr>
          <w:p>
            <w:pPr>
              <w:spacing w:after="0" w:line="240" w:lineRule="auto"/>
            </w:pPr>
            <w:r/>
            <w:r>
              <w:rPr>
                <w:rFonts w:ascii="Calibri" w:hAnsi="Calibri" w:cs="Calibri" w:eastAsia="Calibri"/>
                <w:b w:val="0"/>
                <w:sz w:val="17"/>
              </w:rPr>
              <w:t>Cuidarte+ no gestiona pagos ni admisión de urgencia, por lo que esta norma no se le aplica en forma directa. Lo que sí toca al caso es el acceso oportuno a los exámenes cuando un médico atiende una urgencia (Ley 20.584 arts. 10, 13 y 15 b): CP-05, CP-19 y CP-21</w:t>
            </w:r>
          </w:p>
        </w:tc>
      </w:tr>
      <w:tr>
        <w:tc>
          <w:tcPr>
            <w:tcW w:type="dxa" w:w="2041"/>
            <w:shd w:val="clear" w:color="auto" w:fill="EEF2F7"/>
          </w:tcPr>
          <w:p>
            <w:pPr>
              <w:spacing w:after="0" w:line="240" w:lineRule="auto"/>
            </w:pPr>
            <w:r/>
            <w:r>
              <w:rPr>
                <w:rFonts w:ascii="Calibri" w:hAnsi="Calibri" w:cs="Calibri" w:eastAsia="Calibri"/>
                <w:b w:val="0"/>
                <w:sz w:val="17"/>
              </w:rPr>
              <w:t>Ley 21.459, delitos informáticos</w:t>
            </w:r>
          </w:p>
        </w:tc>
        <w:tc>
          <w:tcPr>
            <w:tcW w:type="dxa" w:w="1474"/>
            <w:shd w:val="clear" w:color="auto" w:fill="EEF2F7"/>
          </w:tcPr>
          <w:p>
            <w:pPr>
              <w:spacing w:after="0" w:line="240" w:lineRule="auto"/>
            </w:pPr>
            <w:r/>
            <w:r>
              <w:rPr>
                <w:rFonts w:ascii="Calibri" w:hAnsi="Calibri" w:cs="Calibri" w:eastAsia="Calibri"/>
                <w:b w:val="0"/>
                <w:sz w:val="17"/>
              </w:rPr>
              <w:t>Vigente</w:t>
            </w:r>
          </w:p>
        </w:tc>
        <w:tc>
          <w:tcPr>
            <w:tcW w:type="dxa" w:w="3402"/>
            <w:shd w:val="clear" w:color="auto" w:fill="EEF2F7"/>
          </w:tcPr>
          <w:p>
            <w:pPr>
              <w:spacing w:after="0" w:line="240" w:lineRule="auto"/>
            </w:pPr>
            <w:r/>
            <w:r>
              <w:rPr>
                <w:rFonts w:ascii="Calibri" w:hAnsi="Calibri" w:cs="Calibri" w:eastAsia="Calibri"/>
                <w:b w:val="0"/>
                <w:sz w:val="17"/>
              </w:rPr>
              <w:t>Arts. 1 a 4 (ataque a la integridad de un sistema, acceso ilícito, interceptación ilícita, ataque a la integridad de los datos)</w:t>
            </w:r>
          </w:p>
        </w:tc>
        <w:tc>
          <w:tcPr>
            <w:tcW w:type="dxa" w:w="2835"/>
            <w:shd w:val="clear" w:color="auto" w:fill="EEF2F7"/>
          </w:tcPr>
          <w:p>
            <w:pPr>
              <w:spacing w:after="0" w:line="240" w:lineRule="auto"/>
            </w:pPr>
            <w:r/>
            <w:r>
              <w:rPr>
                <w:rFonts w:ascii="Calibri" w:hAnsi="Calibri" w:cs="Calibri" w:eastAsia="Calibri"/>
                <w:b w:val="0"/>
                <w:sz w:val="17"/>
              </w:rPr>
              <w:t>No crea deberes para el sistema; explica el impacto de cada falla de control de acceso. También limita nuestras pruebas: las herramientas se usan solo contra el ambiente local</w:t>
            </w:r>
          </w:p>
        </w:tc>
      </w:tr>
      <w:tr>
        <w:tc>
          <w:tcPr>
            <w:tcW w:type="dxa" w:w="2041"/>
          </w:tcPr>
          <w:p>
            <w:pPr>
              <w:spacing w:after="0" w:line="240" w:lineRule="auto"/>
            </w:pPr>
            <w:r/>
            <w:r>
              <w:rPr>
                <w:rFonts w:ascii="Calibri" w:hAnsi="Calibri" w:cs="Calibri" w:eastAsia="Calibri"/>
                <w:b w:val="0"/>
                <w:sz w:val="17"/>
              </w:rPr>
              <w:t>Ley 17.336, propiedad intelectual</w:t>
            </w:r>
          </w:p>
        </w:tc>
        <w:tc>
          <w:tcPr>
            <w:tcW w:type="dxa" w:w="1474"/>
          </w:tcPr>
          <w:p>
            <w:pPr>
              <w:spacing w:after="0" w:line="240" w:lineRule="auto"/>
            </w:pPr>
            <w:r/>
            <w:r>
              <w:rPr>
                <w:rFonts w:ascii="Calibri" w:hAnsi="Calibri" w:cs="Calibri" w:eastAsia="Calibri"/>
                <w:b w:val="0"/>
                <w:sz w:val="17"/>
              </w:rPr>
              <w:t>Vigente</w:t>
            </w:r>
          </w:p>
        </w:tc>
        <w:tc>
          <w:tcPr>
            <w:tcW w:type="dxa" w:w="3402"/>
          </w:tcPr>
          <w:p>
            <w:pPr>
              <w:spacing w:after="0" w:line="240" w:lineRule="auto"/>
            </w:pPr>
            <w:r/>
            <w:r>
              <w:rPr>
                <w:rFonts w:ascii="Calibri" w:hAnsi="Calibri" w:cs="Calibri" w:eastAsia="Calibri"/>
                <w:b w:val="0"/>
                <w:sz w:val="17"/>
              </w:rPr>
              <w:t>Arts. 78 y 79 (sanciones por uso no autorizado de obras protegidas)</w:t>
            </w:r>
          </w:p>
        </w:tc>
        <w:tc>
          <w:tcPr>
            <w:tcW w:type="dxa" w:w="2835"/>
          </w:tcPr>
          <w:p>
            <w:pPr>
              <w:spacing w:after="0" w:line="240" w:lineRule="auto"/>
            </w:pPr>
            <w:r/>
            <w:r>
              <w:rPr>
                <w:rFonts w:ascii="Calibri" w:hAnsi="Calibri" w:cs="Calibri" w:eastAsia="Calibri"/>
                <w:b w:val="0"/>
                <w:sz w:val="17"/>
              </w:rPr>
              <w:t>Revisión de licencias de las dependencias junto con npm audit (INC-11)</w:t>
            </w:r>
          </w:p>
        </w:tc>
      </w:tr>
      <w:tr>
        <w:tc>
          <w:tcPr>
            <w:tcW w:type="dxa" w:w="2041"/>
            <w:shd w:val="clear" w:color="auto" w:fill="EEF2F7"/>
          </w:tcPr>
          <w:p>
            <w:pPr>
              <w:spacing w:after="0" w:line="240" w:lineRule="auto"/>
            </w:pPr>
            <w:r/>
            <w:r>
              <w:rPr>
                <w:rFonts w:ascii="Calibri" w:hAnsi="Calibri" w:cs="Calibri" w:eastAsia="Calibri"/>
                <w:b w:val="0"/>
                <w:sz w:val="17"/>
              </w:rPr>
              <w:t>Ley 19.799 y Decreto 181 de 2002, documento y firma electrónica</w:t>
            </w:r>
          </w:p>
        </w:tc>
        <w:tc>
          <w:tcPr>
            <w:tcW w:type="dxa" w:w="1474"/>
            <w:shd w:val="clear" w:color="auto" w:fill="EEF2F7"/>
          </w:tcPr>
          <w:p>
            <w:pPr>
              <w:spacing w:after="0" w:line="240" w:lineRule="auto"/>
            </w:pPr>
            <w:r/>
            <w:r>
              <w:rPr>
                <w:rFonts w:ascii="Calibri" w:hAnsi="Calibri" w:cs="Calibri" w:eastAsia="Calibri"/>
                <w:b w:val="0"/>
                <w:sz w:val="17"/>
              </w:rPr>
              <w:t>Vigente</w:t>
            </w:r>
          </w:p>
        </w:tc>
        <w:tc>
          <w:tcPr>
            <w:tcW w:type="dxa" w:w="3402"/>
            <w:shd w:val="clear" w:color="auto" w:fill="EEF2F7"/>
          </w:tcPr>
          <w:p>
            <w:pPr>
              <w:spacing w:after="0" w:line="240" w:lineRule="auto"/>
            </w:pPr>
            <w:r/>
            <w:r>
              <w:rPr>
                <w:rFonts w:ascii="Calibri" w:hAnsi="Calibri" w:cs="Calibri" w:eastAsia="Calibri"/>
                <w:b w:val="0"/>
                <w:sz w:val="17"/>
              </w:rPr>
              <w:t>Aplica solo si los informes de examen se firman electrónicamente</w:t>
            </w:r>
          </w:p>
        </w:tc>
        <w:tc>
          <w:tcPr>
            <w:tcW w:type="dxa" w:w="2835"/>
            <w:shd w:val="clear" w:color="auto" w:fill="EEF2F7"/>
          </w:tcPr>
          <w:p>
            <w:pPr>
              <w:spacing w:after="0" w:line="240" w:lineRule="auto"/>
            </w:pPr>
            <w:r/>
            <w:r>
              <w:rPr>
                <w:rFonts w:ascii="Calibri" w:hAnsi="Calibri" w:cs="Calibri" w:eastAsia="Calibri"/>
                <w:b w:val="0"/>
                <w:sz w:val="17"/>
              </w:rPr>
              <w:t>El ERS no lo pide. La integridad de los documentos se fundamenta mejor en la Ley 20.584 art. 12 y el DS 41 art. 8</w:t>
            </w:r>
          </w:p>
        </w:tc>
      </w:tr>
      <w:tr>
        <w:tc>
          <w:tcPr>
            <w:tcW w:type="dxa" w:w="2041"/>
          </w:tcPr>
          <w:p>
            <w:pPr>
              <w:spacing w:after="0" w:line="240" w:lineRule="auto"/>
            </w:pPr>
            <w:r/>
            <w:r>
              <w:rPr>
                <w:rFonts w:ascii="Calibri" w:hAnsi="Calibri" w:cs="Calibri" w:eastAsia="Calibri"/>
                <w:b w:val="0"/>
                <w:sz w:val="17"/>
              </w:rPr>
              <w:t>Manual de Accesibilidad Web del Gobierno de Chile</w:t>
            </w:r>
          </w:p>
        </w:tc>
        <w:tc>
          <w:tcPr>
            <w:tcW w:type="dxa" w:w="1474"/>
          </w:tcPr>
          <w:p>
            <w:pPr>
              <w:spacing w:after="0" w:line="240" w:lineRule="auto"/>
            </w:pPr>
            <w:r/>
            <w:r>
              <w:rPr>
                <w:rFonts w:ascii="Calibri" w:hAnsi="Calibri" w:cs="Calibri" w:eastAsia="Calibri"/>
                <w:b w:val="0"/>
                <w:sz w:val="17"/>
              </w:rPr>
              <w:t>Guía técnica</w:t>
            </w:r>
          </w:p>
        </w:tc>
        <w:tc>
          <w:tcPr>
            <w:tcW w:type="dxa" w:w="3402"/>
          </w:tcPr>
          <w:p>
            <w:pPr>
              <w:spacing w:after="0" w:line="240" w:lineRule="auto"/>
            </w:pPr>
            <w:r/>
            <w:r>
              <w:rPr>
                <w:rFonts w:ascii="Calibri" w:hAnsi="Calibri" w:cs="Calibri" w:eastAsia="Calibri"/>
                <w:b w:val="0"/>
                <w:sz w:val="17"/>
              </w:rPr>
              <w:t>Criterios de accesibilidad alineados con WCAG; se complementa con la Ley 20.584 arts. 5 a) y 5° bis</w:t>
            </w:r>
          </w:p>
        </w:tc>
        <w:tc>
          <w:tcPr>
            <w:tcW w:type="dxa" w:w="2835"/>
          </w:tcPr>
          <w:p>
            <w:pPr>
              <w:spacing w:after="0" w:line="240" w:lineRule="auto"/>
            </w:pPr>
            <w:r/>
            <w:r>
              <w:rPr>
                <w:rFonts w:ascii="Calibri" w:hAnsi="Calibri" w:cs="Calibri" w:eastAsia="Calibri"/>
                <w:b w:val="0"/>
                <w:sz w:val="17"/>
              </w:rPr>
              <w:t>CP-06 y CP-20, con usuarios representativos según el ERS §3.1.1</w:t>
            </w:r>
          </w:p>
        </w:tc>
      </w:tr>
      <w:tr>
        <w:tc>
          <w:tcPr>
            <w:tcW w:type="dxa" w:w="2041"/>
            <w:shd w:val="clear" w:color="auto" w:fill="EEF2F7"/>
          </w:tcPr>
          <w:p>
            <w:pPr>
              <w:spacing w:after="0" w:line="240" w:lineRule="auto"/>
            </w:pPr>
            <w:r/>
            <w:r>
              <w:rPr>
                <w:rFonts w:ascii="Calibri" w:hAnsi="Calibri" w:cs="Calibri" w:eastAsia="Calibri"/>
                <w:b w:val="0"/>
                <w:sz w:val="17"/>
              </w:rPr>
              <w:t>Ley 21.180, transformación digital del Estado</w:t>
            </w:r>
          </w:p>
        </w:tc>
        <w:tc>
          <w:tcPr>
            <w:tcW w:type="dxa" w:w="1474"/>
            <w:shd w:val="clear" w:color="auto" w:fill="EEF2F7"/>
          </w:tcPr>
          <w:p>
            <w:pPr>
              <w:spacing w:after="0" w:line="240" w:lineRule="auto"/>
            </w:pPr>
            <w:r/>
            <w:r>
              <w:rPr>
                <w:rFonts w:ascii="Calibri" w:hAnsi="Calibri" w:cs="Calibri" w:eastAsia="Calibri"/>
                <w:b w:val="0"/>
                <w:sz w:val="17"/>
              </w:rPr>
              <w:t>Vigente</w:t>
            </w:r>
          </w:p>
        </w:tc>
        <w:tc>
          <w:tcPr>
            <w:tcW w:type="dxa" w:w="3402"/>
            <w:shd w:val="clear" w:color="auto" w:fill="EEF2F7"/>
          </w:tcPr>
          <w:p>
            <w:pPr>
              <w:spacing w:after="0" w:line="240" w:lineRule="auto"/>
            </w:pPr>
            <w:r/>
            <w:r>
              <w:rPr>
                <w:rFonts w:ascii="Calibri" w:hAnsi="Calibri" w:cs="Calibri" w:eastAsia="Calibri"/>
                <w:b w:val="0"/>
                <w:sz w:val="17"/>
              </w:rPr>
              <w:t>Solo si el sistema interopera con organismos públicos</w:t>
            </w:r>
          </w:p>
        </w:tc>
        <w:tc>
          <w:tcPr>
            <w:tcW w:type="dxa" w:w="2835"/>
            <w:shd w:val="clear" w:color="auto" w:fill="EEF2F7"/>
          </w:tcPr>
          <w:p>
            <w:pPr>
              <w:spacing w:after="0" w:line="240" w:lineRule="auto"/>
            </w:pPr>
            <w:r/>
            <w:r>
              <w:rPr>
                <w:rFonts w:ascii="Calibri" w:hAnsi="Calibri" w:cs="Calibri" w:eastAsia="Calibri"/>
                <w:b w:val="0"/>
                <w:sz w:val="17"/>
              </w:rPr>
              <w:t>Se mantiene la conclusión de la EV1: no es exigible hoy</w:t>
            </w:r>
          </w:p>
        </w:tc>
      </w:tr>
    </w:tbl>
    <w:p>
      <w:pPr>
        <w:spacing w:after="40"/>
      </w:pPr>
    </w:p>
    <w:p>
      <w:pPr>
        <w:jc w:val="both"/>
      </w:pPr>
      <w:r>
        <w:rPr>
          <w:rFonts w:ascii="Calibri" w:hAnsi="Calibri" w:cs="Calibri" w:eastAsia="Calibri"/>
          <w:i w:val="0"/>
          <w:sz w:val="22"/>
        </w:rPr>
        <w:t>El Código Sanitario figuraba en la EV1 como texto suelto, sin artículos y con referencias a farmacias y sustancias que no corresponden al caso. Lo retiramos del marco porque ninguno de nuestros hallazgos se fundamenta en él; la regulación de la ficha clínica que nos interesa está en la Ley 20.584 y en el DS 41. Por la misma razón se eliminó la línea genérica sobre decretos supremos y normas técnicas básicas.</w:t>
      </w:r>
    </w:p>
    <w:p>
      <w:pPr>
        <w:pStyle w:val="Heading2"/>
      </w:pPr>
      <w:r>
        <w:t>6.3 Donde el propio ERS entra en tensión con la ley</w:t>
      </w:r>
    </w:p>
    <w:p>
      <w:pPr>
        <w:jc w:val="both"/>
      </w:pPr>
      <w:r>
        <w:rPr>
          <w:rFonts w:ascii="Calibri" w:hAnsi="Calibri" w:cs="Calibri" w:eastAsia="Calibri"/>
          <w:i w:val="0"/>
          <w:sz w:val="22"/>
        </w:rPr>
        <w:t>Al cruzar el ERS con la Ley 20.584 encontramos un punto que no vimos en la EV1. La regla RB-3 dice que un médico puede ver la información clínica de cualquier paciente registrado. El artículo 13 de la Ley 20.584 dispone que los terceros que no estén directamente relacionados con la atención no tendrán acceso a la ficha, y aclara que eso incluye al personal de salud y administrativo del mismo prestador no vinculado a la atención de la persona. El artículo 9 del DS 41 agrega que el acceso debe ser controlado y que el sistema debe registrar quién entró y cuándo. RB-2 tiene un problema parecido, porque entrega al administrador acceso completo, y un administrador de sistemas no participa en la atención del paciente.</w:t>
      </w:r>
    </w:p>
    <w:p>
      <w:pPr>
        <w:jc w:val="both"/>
      </w:pPr>
      <w:r>
        <w:rPr>
          <w:rFonts w:ascii="Calibri" w:hAnsi="Calibri" w:cs="Calibri" w:eastAsia="Calibri"/>
          <w:i w:val="0"/>
          <w:sz w:val="22"/>
        </w:rPr>
        <w:t>Como equipo de QA no podemos cambiar el ERS, pero sí debemos informarlo. RB-3 se prueba tal como está escrita: si el médico ve a cualquier paciente, el caso aprueba contra el ERS. En paralelo lo registramos como observación de cumplimiento OC-01, porque el requisito expone al centro de salud a un incumplimiento. Una alternativa razonable sería limitar el acceso del médico a los pacientes que atiende y habilitar un acceso de emergencia justificado y registrado para las urgencias, en línea con el artículo 15 b) de la misma ley. Es una propuesta para conversar con el cliente, no algo que exija el ERS actual.</w:t>
      </w:r>
    </w:p>
    <w:p>
      <w:pPr>
        <w:pStyle w:val="Heading2"/>
      </w:pPr>
      <w:r>
        <w:t>6.4 Hallazgos y deber legal afectado</w:t>
      </w:r>
    </w:p>
    <w:p>
      <w:pPr>
        <w:jc w:val="both"/>
      </w:pPr>
      <w:r>
        <w:rPr>
          <w:rFonts w:ascii="Calibri" w:hAnsi="Calibri" w:cs="Calibri" w:eastAsia="Calibri"/>
          <w:i w:val="0"/>
          <w:sz w:val="22"/>
        </w:rPr>
        <w:t>Los incidentes de la Tabla 6.2 salen de la revisión estática del código del repositorio (commit 7503d1b), indicando archivo y línea. Cada uno está asociado a un caso de la matriz que lo pone a prueba en la ejecución. La severidad usa la escala de la sección 5.3 (Crítico, Grave, Moderado y Leve) y es la que proponemos a partir de la lectura del código; la clasificación definitiva se fija en la sección 5.3 con la evidencia de ejecución.</w:t>
      </w:r>
    </w:p>
    <w:p>
      <w:pPr>
        <w:keepNext/>
        <w:spacing w:after="60"/>
      </w:pPr>
      <w:r>
        <w:rPr>
          <w:rFonts w:ascii="Calibri" w:hAnsi="Calibri" w:cs="Calibri" w:eastAsia="Calibri"/>
          <w:b/>
          <w:sz w:val="20"/>
        </w:rPr>
        <w:t>Tabla 6.2. Incidentes y deber legal afectado</w:t>
      </w:r>
    </w:p>
    <w:tbl>
      <w:tblPr>
        <w:tblStyle w:val="TableGrid"/>
        <w:tblW w:type="auto" w:w="0"/>
        <w:jc w:val="center"/>
        <w:tblLayout w:type="fixed"/>
        <w:tblLook w:firstColumn="1" w:firstRow="1" w:lastColumn="0" w:lastRow="0" w:noHBand="0" w:noVBand="1" w:val="04A0"/>
      </w:tblPr>
      <w:tblGrid>
        <w:gridCol w:w="793"/>
        <w:gridCol w:w="3742"/>
        <w:gridCol w:w="1247"/>
        <w:gridCol w:w="1360"/>
        <w:gridCol w:w="2608"/>
      </w:tblGrid>
      <w:tr>
        <w:trPr>
          <w:tblHeader w:val="true"/>
        </w:trPr>
        <w:tc>
          <w:tcPr>
            <w:tcW w:type="dxa" w:w="794"/>
            <w:shd w:val="clear" w:color="auto" w:fill="1F3A5F"/>
          </w:tcPr>
          <w:p>
            <w:r/>
            <w:r>
              <w:rPr>
                <w:rFonts w:ascii="Calibri" w:hAnsi="Calibri" w:cs="Calibri" w:eastAsia="Calibri"/>
                <w:b/>
                <w:color w:val="FFFFFF"/>
                <w:sz w:val="17"/>
              </w:rPr>
              <w:t>ID</w:t>
            </w:r>
          </w:p>
        </w:tc>
        <w:tc>
          <w:tcPr>
            <w:tcW w:type="dxa" w:w="3742"/>
            <w:shd w:val="clear" w:color="auto" w:fill="1F3A5F"/>
          </w:tcPr>
          <w:p>
            <w:r/>
            <w:r>
              <w:rPr>
                <w:rFonts w:ascii="Calibri" w:hAnsi="Calibri" w:cs="Calibri" w:eastAsia="Calibri"/>
                <w:b/>
                <w:color w:val="FFFFFF"/>
                <w:sz w:val="17"/>
              </w:rPr>
              <w:t>Qué ocurre</w:t>
            </w:r>
          </w:p>
        </w:tc>
        <w:tc>
          <w:tcPr>
            <w:tcW w:type="dxa" w:w="1247"/>
            <w:shd w:val="clear" w:color="auto" w:fill="1F3A5F"/>
          </w:tcPr>
          <w:p>
            <w:r/>
            <w:r>
              <w:rPr>
                <w:rFonts w:ascii="Calibri" w:hAnsi="Calibri" w:cs="Calibri" w:eastAsia="Calibri"/>
                <w:b/>
                <w:color w:val="FFFFFF"/>
                <w:sz w:val="17"/>
              </w:rPr>
              <w:t>Caso</w:t>
            </w:r>
          </w:p>
        </w:tc>
        <w:tc>
          <w:tcPr>
            <w:tcW w:type="dxa" w:w="1361"/>
            <w:shd w:val="clear" w:color="auto" w:fill="1F3A5F"/>
          </w:tcPr>
          <w:p>
            <w:r/>
            <w:r>
              <w:rPr>
                <w:rFonts w:ascii="Calibri" w:hAnsi="Calibri" w:cs="Calibri" w:eastAsia="Calibri"/>
                <w:b/>
                <w:color w:val="FFFFFF"/>
                <w:sz w:val="17"/>
              </w:rPr>
              <w:t>Severidad propuesta</w:t>
            </w:r>
          </w:p>
        </w:tc>
        <w:tc>
          <w:tcPr>
            <w:tcW w:type="dxa" w:w="2608"/>
            <w:shd w:val="clear" w:color="auto" w:fill="1F3A5F"/>
          </w:tcPr>
          <w:p>
            <w:r/>
            <w:r>
              <w:rPr>
                <w:rFonts w:ascii="Calibri" w:hAnsi="Calibri" w:cs="Calibri" w:eastAsia="Calibri"/>
                <w:b/>
                <w:color w:val="FFFFFF"/>
                <w:sz w:val="17"/>
              </w:rPr>
              <w:t>Norma afectada</w:t>
            </w:r>
          </w:p>
        </w:tc>
      </w:tr>
      <w:tr>
        <w:tc>
          <w:tcPr>
            <w:tcW w:type="dxa" w:w="794"/>
          </w:tcPr>
          <w:p>
            <w:pPr>
              <w:spacing w:after="0" w:line="240" w:lineRule="auto"/>
            </w:pPr>
            <w:r/>
            <w:r>
              <w:rPr>
                <w:rFonts w:ascii="Calibri" w:hAnsi="Calibri" w:cs="Calibri" w:eastAsia="Calibri"/>
                <w:b w:val="0"/>
                <w:sz w:val="17"/>
              </w:rPr>
              <w:t>INC-01</w:t>
            </w:r>
          </w:p>
        </w:tc>
        <w:tc>
          <w:tcPr>
            <w:tcW w:type="dxa" w:w="3742"/>
          </w:tcPr>
          <w:p>
            <w:pPr>
              <w:spacing w:after="0" w:line="240" w:lineRule="auto"/>
            </w:pPr>
            <w:r/>
            <w:r>
              <w:rPr>
                <w:rFonts w:ascii="Calibri" w:hAnsi="Calibri" w:cs="Calibri" w:eastAsia="Calibri"/>
                <w:b w:val="0"/>
                <w:sz w:val="17"/>
              </w:rPr>
              <w:t>Contraseñas guardadas y comparadas en texto plano; usuarios semilla con contraseña igual al nombre (auth.js:21 y 110; dump SQL:288-290)</w:t>
            </w:r>
          </w:p>
        </w:tc>
        <w:tc>
          <w:tcPr>
            <w:tcW w:type="dxa" w:w="1247"/>
          </w:tcPr>
          <w:p>
            <w:pPr>
              <w:spacing w:after="0" w:line="240" w:lineRule="auto"/>
            </w:pPr>
            <w:r/>
            <w:r>
              <w:rPr>
                <w:rFonts w:ascii="Calibri" w:hAnsi="Calibri" w:cs="Calibri" w:eastAsia="Calibri"/>
                <w:b w:val="0"/>
                <w:sz w:val="17"/>
              </w:rPr>
              <w:t>CP-01, CP-15</w:t>
            </w:r>
          </w:p>
        </w:tc>
        <w:tc>
          <w:tcPr>
            <w:tcW w:type="dxa" w:w="1361"/>
          </w:tcPr>
          <w:p>
            <w:pPr>
              <w:spacing w:after="0" w:line="240" w:lineRule="auto"/>
            </w:pPr>
            <w:r/>
            <w:r>
              <w:rPr>
                <w:rFonts w:ascii="Calibri" w:hAnsi="Calibri" w:cs="Calibri" w:eastAsia="Calibri"/>
                <w:b w:val="0"/>
                <w:sz w:val="17"/>
              </w:rPr>
              <w:t>Crítico</w:t>
            </w:r>
          </w:p>
        </w:tc>
        <w:tc>
          <w:tcPr>
            <w:tcW w:type="dxa" w:w="2608"/>
          </w:tcPr>
          <w:p>
            <w:pPr>
              <w:spacing w:after="0" w:line="240" w:lineRule="auto"/>
            </w:pPr>
            <w:r/>
            <w:r>
              <w:rPr>
                <w:rFonts w:ascii="Calibri" w:hAnsi="Calibri" w:cs="Calibri" w:eastAsia="Calibri"/>
                <w:b w:val="0"/>
                <w:sz w:val="17"/>
              </w:rPr>
              <w:t>Ley 19.628 art. 11; Ley 20.584 art. 12; DS 41 art. 8 I c). Desde el 01-12-2026, art. 14 quinquies</w:t>
            </w:r>
          </w:p>
        </w:tc>
      </w:tr>
      <w:tr>
        <w:tc>
          <w:tcPr>
            <w:tcW w:type="dxa" w:w="794"/>
            <w:shd w:val="clear" w:color="auto" w:fill="EEF2F7"/>
          </w:tcPr>
          <w:p>
            <w:pPr>
              <w:spacing w:after="0" w:line="240" w:lineRule="auto"/>
            </w:pPr>
            <w:r/>
            <w:r>
              <w:rPr>
                <w:rFonts w:ascii="Calibri" w:hAnsi="Calibri" w:cs="Calibri" w:eastAsia="Calibri"/>
                <w:b w:val="0"/>
                <w:sz w:val="17"/>
              </w:rPr>
              <w:t>INC-02</w:t>
            </w:r>
          </w:p>
        </w:tc>
        <w:tc>
          <w:tcPr>
            <w:tcW w:type="dxa" w:w="3742"/>
            <w:shd w:val="clear" w:color="auto" w:fill="EEF2F7"/>
          </w:tcPr>
          <w:p>
            <w:pPr>
              <w:spacing w:after="0" w:line="240" w:lineRule="auto"/>
            </w:pPr>
            <w:r/>
            <w:r>
              <w:rPr>
                <w:rFonts w:ascii="Calibri" w:hAnsi="Calibri" w:cs="Calibri" w:eastAsia="Calibri"/>
                <w:b w:val="0"/>
                <w:sz w:val="17"/>
              </w:rPr>
              <w:t>Secreto JWT por defecto "inseguro" y secreto real publicado en README y .env versionado</w:t>
            </w:r>
          </w:p>
        </w:tc>
        <w:tc>
          <w:tcPr>
            <w:tcW w:type="dxa" w:w="1247"/>
            <w:shd w:val="clear" w:color="auto" w:fill="EEF2F7"/>
          </w:tcPr>
          <w:p>
            <w:pPr>
              <w:spacing w:after="0" w:line="240" w:lineRule="auto"/>
            </w:pPr>
            <w:r/>
            <w:r>
              <w:rPr>
                <w:rFonts w:ascii="Calibri" w:hAnsi="Calibri" w:cs="Calibri" w:eastAsia="Calibri"/>
                <w:b w:val="0"/>
                <w:sz w:val="17"/>
              </w:rPr>
              <w:t>CP-01</w:t>
            </w:r>
          </w:p>
        </w:tc>
        <w:tc>
          <w:tcPr>
            <w:tcW w:type="dxa" w:w="1361"/>
            <w:shd w:val="clear" w:color="auto" w:fill="EEF2F7"/>
          </w:tcPr>
          <w:p>
            <w:pPr>
              <w:spacing w:after="0" w:line="240" w:lineRule="auto"/>
            </w:pPr>
            <w:r/>
            <w:r>
              <w:rPr>
                <w:rFonts w:ascii="Calibri" w:hAnsi="Calibri" w:cs="Calibri" w:eastAsia="Calibri"/>
                <w:b w:val="0"/>
                <w:sz w:val="17"/>
              </w:rPr>
              <w:t>Grave</w:t>
            </w:r>
          </w:p>
        </w:tc>
        <w:tc>
          <w:tcPr>
            <w:tcW w:type="dxa" w:w="2608"/>
            <w:shd w:val="clear" w:color="auto" w:fill="EEF2F7"/>
          </w:tcPr>
          <w:p>
            <w:pPr>
              <w:spacing w:after="0" w:line="240" w:lineRule="auto"/>
            </w:pPr>
            <w:r/>
            <w:r>
              <w:rPr>
                <w:rFonts w:ascii="Calibri" w:hAnsi="Calibri" w:cs="Calibri" w:eastAsia="Calibri"/>
                <w:b w:val="0"/>
                <w:sz w:val="17"/>
              </w:rPr>
              <w:t>Ley 20.584 art. 13; DS 41 art. 9. Permite la conducta del art. 2 de la Ley 21.459</w:t>
            </w:r>
          </w:p>
        </w:tc>
      </w:tr>
      <w:tr>
        <w:tc>
          <w:tcPr>
            <w:tcW w:type="dxa" w:w="794"/>
          </w:tcPr>
          <w:p>
            <w:pPr>
              <w:spacing w:after="0" w:line="240" w:lineRule="auto"/>
            </w:pPr>
            <w:r/>
            <w:r>
              <w:rPr>
                <w:rFonts w:ascii="Calibri" w:hAnsi="Calibri" w:cs="Calibri" w:eastAsia="Calibri"/>
                <w:b w:val="0"/>
                <w:sz w:val="17"/>
              </w:rPr>
              <w:t>INC-03</w:t>
            </w:r>
          </w:p>
        </w:tc>
        <w:tc>
          <w:tcPr>
            <w:tcW w:type="dxa" w:w="3742"/>
          </w:tcPr>
          <w:p>
            <w:pPr>
              <w:spacing w:after="0" w:line="240" w:lineRule="auto"/>
            </w:pPr>
            <w:r/>
            <w:r>
              <w:rPr>
                <w:rFonts w:ascii="Calibri" w:hAnsi="Calibri" w:cs="Calibri" w:eastAsia="Calibri"/>
                <w:b w:val="0"/>
                <w:sz w:val="17"/>
              </w:rPr>
              <w:t>No existe logout ni revocación; el token dura 2 horas (auth.js:54)</w:t>
            </w:r>
          </w:p>
        </w:tc>
        <w:tc>
          <w:tcPr>
            <w:tcW w:type="dxa" w:w="1247"/>
          </w:tcPr>
          <w:p>
            <w:pPr>
              <w:spacing w:after="0" w:line="240" w:lineRule="auto"/>
            </w:pPr>
            <w:r/>
            <w:r>
              <w:rPr>
                <w:rFonts w:ascii="Calibri" w:hAnsi="Calibri" w:cs="Calibri" w:eastAsia="Calibri"/>
                <w:b w:val="0"/>
                <w:sz w:val="17"/>
              </w:rPr>
              <w:t>CP-07</w:t>
            </w:r>
          </w:p>
        </w:tc>
        <w:tc>
          <w:tcPr>
            <w:tcW w:type="dxa" w:w="1361"/>
          </w:tcPr>
          <w:p>
            <w:pPr>
              <w:spacing w:after="0" w:line="240" w:lineRule="auto"/>
            </w:pPr>
            <w:r/>
            <w:r>
              <w:rPr>
                <w:rFonts w:ascii="Calibri" w:hAnsi="Calibri" w:cs="Calibri" w:eastAsia="Calibri"/>
                <w:b w:val="0"/>
                <w:sz w:val="17"/>
              </w:rPr>
              <w:t>Grave</w:t>
            </w:r>
          </w:p>
        </w:tc>
        <w:tc>
          <w:tcPr>
            <w:tcW w:type="dxa" w:w="2608"/>
          </w:tcPr>
          <w:p>
            <w:pPr>
              <w:spacing w:after="0" w:line="240" w:lineRule="auto"/>
            </w:pPr>
            <w:r/>
            <w:r>
              <w:rPr>
                <w:rFonts w:ascii="Calibri" w:hAnsi="Calibri" w:cs="Calibri" w:eastAsia="Calibri"/>
                <w:b w:val="0"/>
                <w:sz w:val="17"/>
              </w:rPr>
              <w:t>Ley 20.584 art. 13; DS 41 art. 9</w:t>
            </w:r>
          </w:p>
        </w:tc>
      </w:tr>
      <w:tr>
        <w:tc>
          <w:tcPr>
            <w:tcW w:type="dxa" w:w="794"/>
            <w:shd w:val="clear" w:color="auto" w:fill="EEF2F7"/>
          </w:tcPr>
          <w:p>
            <w:pPr>
              <w:spacing w:after="0" w:line="240" w:lineRule="auto"/>
            </w:pPr>
            <w:r/>
            <w:r>
              <w:rPr>
                <w:rFonts w:ascii="Calibri" w:hAnsi="Calibri" w:cs="Calibri" w:eastAsia="Calibri"/>
                <w:b w:val="0"/>
                <w:sz w:val="17"/>
              </w:rPr>
              <w:t>INC-04</w:t>
            </w:r>
          </w:p>
        </w:tc>
        <w:tc>
          <w:tcPr>
            <w:tcW w:type="dxa" w:w="3742"/>
            <w:shd w:val="clear" w:color="auto" w:fill="EEF2F7"/>
          </w:tcPr>
          <w:p>
            <w:pPr>
              <w:spacing w:after="0" w:line="240" w:lineRule="auto"/>
            </w:pPr>
            <w:r/>
            <w:r>
              <w:rPr>
                <w:rFonts w:ascii="Calibri" w:hAnsi="Calibri" w:cs="Calibri" w:eastAsia="Calibri"/>
                <w:b w:val="0"/>
                <w:sz w:val="17"/>
              </w:rPr>
              <w:t>delayMiddleware(5000) agrega 5 s a exámenes, pacientes y documentos</w:t>
            </w:r>
          </w:p>
        </w:tc>
        <w:tc>
          <w:tcPr>
            <w:tcW w:type="dxa" w:w="1247"/>
            <w:shd w:val="clear" w:color="auto" w:fill="EEF2F7"/>
          </w:tcPr>
          <w:p>
            <w:pPr>
              <w:spacing w:after="0" w:line="240" w:lineRule="auto"/>
            </w:pPr>
            <w:r/>
            <w:r>
              <w:rPr>
                <w:rFonts w:ascii="Calibri" w:hAnsi="Calibri" w:cs="Calibri" w:eastAsia="Calibri"/>
                <w:b w:val="0"/>
                <w:sz w:val="17"/>
              </w:rPr>
              <w:t>CP-05, CP-19</w:t>
            </w:r>
          </w:p>
        </w:tc>
        <w:tc>
          <w:tcPr>
            <w:tcW w:type="dxa" w:w="1361"/>
            <w:shd w:val="clear" w:color="auto" w:fill="EEF2F7"/>
          </w:tcPr>
          <w:p>
            <w:pPr>
              <w:spacing w:after="0" w:line="240" w:lineRule="auto"/>
            </w:pPr>
            <w:r/>
            <w:r>
              <w:rPr>
                <w:rFonts w:ascii="Calibri" w:hAnsi="Calibri" w:cs="Calibri" w:eastAsia="Calibri"/>
                <w:b w:val="0"/>
                <w:sz w:val="17"/>
              </w:rPr>
              <w:t>Grave</w:t>
            </w:r>
          </w:p>
        </w:tc>
        <w:tc>
          <w:tcPr>
            <w:tcW w:type="dxa" w:w="2608"/>
            <w:shd w:val="clear" w:color="auto" w:fill="EEF2F7"/>
          </w:tcPr>
          <w:p>
            <w:pPr>
              <w:spacing w:after="0" w:line="240" w:lineRule="auto"/>
            </w:pPr>
            <w:r/>
            <w:r>
              <w:rPr>
                <w:rFonts w:ascii="Calibri" w:hAnsi="Calibri" w:cs="Calibri" w:eastAsia="Calibri"/>
                <w:b w:val="0"/>
                <w:sz w:val="17"/>
              </w:rPr>
              <w:t>Ley 20.584 arts. 12 y 13 (acceso oportuno); DS 41 art. 8</w:t>
            </w:r>
          </w:p>
        </w:tc>
      </w:tr>
      <w:tr>
        <w:tc>
          <w:tcPr>
            <w:tcW w:type="dxa" w:w="794"/>
          </w:tcPr>
          <w:p>
            <w:pPr>
              <w:spacing w:after="0" w:line="240" w:lineRule="auto"/>
            </w:pPr>
            <w:r/>
            <w:r>
              <w:rPr>
                <w:rFonts w:ascii="Calibri" w:hAnsi="Calibri" w:cs="Calibri" w:eastAsia="Calibri"/>
                <w:b w:val="0"/>
                <w:sz w:val="17"/>
              </w:rPr>
              <w:t>INC-05</w:t>
            </w:r>
          </w:p>
        </w:tc>
        <w:tc>
          <w:tcPr>
            <w:tcW w:type="dxa" w:w="3742"/>
          </w:tcPr>
          <w:p>
            <w:pPr>
              <w:spacing w:after="0" w:line="240" w:lineRule="auto"/>
            </w:pPr>
            <w:r/>
            <w:r>
              <w:rPr>
                <w:rFonts w:ascii="Calibri" w:hAnsi="Calibri" w:cs="Calibri" w:eastAsia="Calibri"/>
                <w:b w:val="0"/>
                <w:sz w:val="17"/>
              </w:rPr>
              <w:t>CORS abierto, sin cabeceras de seguridad ni límite de intentos de login (app.js:21)</w:t>
            </w:r>
          </w:p>
        </w:tc>
        <w:tc>
          <w:tcPr>
            <w:tcW w:type="dxa" w:w="1247"/>
          </w:tcPr>
          <w:p>
            <w:pPr>
              <w:spacing w:after="0" w:line="240" w:lineRule="auto"/>
            </w:pPr>
            <w:r/>
            <w:r>
              <w:rPr>
                <w:rFonts w:ascii="Calibri" w:hAnsi="Calibri" w:cs="Calibri" w:eastAsia="Calibri"/>
                <w:b w:val="0"/>
                <w:sz w:val="17"/>
              </w:rPr>
              <w:t>CP-04</w:t>
            </w:r>
          </w:p>
        </w:tc>
        <w:tc>
          <w:tcPr>
            <w:tcW w:type="dxa" w:w="1361"/>
          </w:tcPr>
          <w:p>
            <w:pPr>
              <w:spacing w:after="0" w:line="240" w:lineRule="auto"/>
            </w:pPr>
            <w:r/>
            <w:r>
              <w:rPr>
                <w:rFonts w:ascii="Calibri" w:hAnsi="Calibri" w:cs="Calibri" w:eastAsia="Calibri"/>
                <w:b w:val="0"/>
                <w:sz w:val="17"/>
              </w:rPr>
              <w:t>Moderado</w:t>
            </w:r>
          </w:p>
        </w:tc>
        <w:tc>
          <w:tcPr>
            <w:tcW w:type="dxa" w:w="2608"/>
          </w:tcPr>
          <w:p>
            <w:pPr>
              <w:spacing w:after="0" w:line="240" w:lineRule="auto"/>
            </w:pPr>
            <w:r/>
            <w:r>
              <w:rPr>
                <w:rFonts w:ascii="Calibri" w:hAnsi="Calibri" w:cs="Calibri" w:eastAsia="Calibri"/>
                <w:b w:val="0"/>
                <w:sz w:val="17"/>
              </w:rPr>
              <w:t>DS 41 art. 8 I c)</w:t>
            </w:r>
          </w:p>
        </w:tc>
      </w:tr>
      <w:tr>
        <w:tc>
          <w:tcPr>
            <w:tcW w:type="dxa" w:w="794"/>
            <w:shd w:val="clear" w:color="auto" w:fill="EEF2F7"/>
          </w:tcPr>
          <w:p>
            <w:pPr>
              <w:spacing w:after="0" w:line="240" w:lineRule="auto"/>
            </w:pPr>
            <w:r/>
            <w:r>
              <w:rPr>
                <w:rFonts w:ascii="Calibri" w:hAnsi="Calibri" w:cs="Calibri" w:eastAsia="Calibri"/>
                <w:b w:val="0"/>
                <w:sz w:val="17"/>
              </w:rPr>
              <w:t>INC-06</w:t>
            </w:r>
          </w:p>
        </w:tc>
        <w:tc>
          <w:tcPr>
            <w:tcW w:type="dxa" w:w="3742"/>
            <w:shd w:val="clear" w:color="auto" w:fill="EEF2F7"/>
          </w:tcPr>
          <w:p>
            <w:pPr>
              <w:spacing w:after="0" w:line="240" w:lineRule="auto"/>
            </w:pPr>
            <w:r/>
            <w:r>
              <w:rPr>
                <w:rFonts w:ascii="Calibri" w:hAnsi="Calibri" w:cs="Calibri" w:eastAsia="Calibri"/>
                <w:b w:val="0"/>
                <w:sz w:val="17"/>
              </w:rPr>
              <w:t>Los errores 500 devuelven err.message al cliente</w:t>
            </w:r>
          </w:p>
        </w:tc>
        <w:tc>
          <w:tcPr>
            <w:tcW w:type="dxa" w:w="1247"/>
            <w:shd w:val="clear" w:color="auto" w:fill="EEF2F7"/>
          </w:tcPr>
          <w:p>
            <w:pPr>
              <w:spacing w:after="0" w:line="240" w:lineRule="auto"/>
            </w:pPr>
            <w:r/>
            <w:r>
              <w:rPr>
                <w:rFonts w:ascii="Calibri" w:hAnsi="Calibri" w:cs="Calibri" w:eastAsia="Calibri"/>
                <w:b w:val="0"/>
                <w:sz w:val="17"/>
              </w:rPr>
              <w:t>CP-17, CP-20</w:t>
            </w:r>
          </w:p>
        </w:tc>
        <w:tc>
          <w:tcPr>
            <w:tcW w:type="dxa" w:w="1361"/>
            <w:shd w:val="clear" w:color="auto" w:fill="EEF2F7"/>
          </w:tcPr>
          <w:p>
            <w:pPr>
              <w:spacing w:after="0" w:line="240" w:lineRule="auto"/>
            </w:pPr>
            <w:r/>
            <w:r>
              <w:rPr>
                <w:rFonts w:ascii="Calibri" w:hAnsi="Calibri" w:cs="Calibri" w:eastAsia="Calibri"/>
                <w:b w:val="0"/>
                <w:sz w:val="17"/>
              </w:rPr>
              <w:t>Moderado</w:t>
            </w:r>
          </w:p>
        </w:tc>
        <w:tc>
          <w:tcPr>
            <w:tcW w:type="dxa" w:w="2608"/>
            <w:shd w:val="clear" w:color="auto" w:fill="EEF2F7"/>
          </w:tcPr>
          <w:p>
            <w:pPr>
              <w:spacing w:after="0" w:line="240" w:lineRule="auto"/>
            </w:pPr>
            <w:r/>
            <w:r>
              <w:rPr>
                <w:rFonts w:ascii="Calibri" w:hAnsi="Calibri" w:cs="Calibri" w:eastAsia="Calibri"/>
                <w:b w:val="0"/>
                <w:sz w:val="17"/>
              </w:rPr>
              <w:t>Ley 19.628 art. 11; NFR-SEG-6</w:t>
            </w:r>
          </w:p>
        </w:tc>
      </w:tr>
      <w:tr>
        <w:tc>
          <w:tcPr>
            <w:tcW w:type="dxa" w:w="794"/>
          </w:tcPr>
          <w:p>
            <w:pPr>
              <w:spacing w:after="0" w:line="240" w:lineRule="auto"/>
            </w:pPr>
            <w:r/>
            <w:r>
              <w:rPr>
                <w:rFonts w:ascii="Calibri" w:hAnsi="Calibri" w:cs="Calibri" w:eastAsia="Calibri"/>
                <w:b w:val="0"/>
                <w:sz w:val="17"/>
              </w:rPr>
              <w:t>INC-07</w:t>
            </w:r>
          </w:p>
        </w:tc>
        <w:tc>
          <w:tcPr>
            <w:tcW w:type="dxa" w:w="3742"/>
          </w:tcPr>
          <w:p>
            <w:pPr>
              <w:spacing w:after="0" w:line="240" w:lineRule="auto"/>
            </w:pPr>
            <w:r/>
            <w:r>
              <w:rPr>
                <w:rFonts w:ascii="Calibri" w:hAnsi="Calibri" w:cs="Calibri" w:eastAsia="Calibri"/>
                <w:b w:val="0"/>
                <w:sz w:val="17"/>
              </w:rPr>
              <w:t>/roles permite crear, editar y borrar roles con cualquier token válido (roles.js:18-90)</w:t>
            </w:r>
          </w:p>
        </w:tc>
        <w:tc>
          <w:tcPr>
            <w:tcW w:type="dxa" w:w="1247"/>
          </w:tcPr>
          <w:p>
            <w:pPr>
              <w:spacing w:after="0" w:line="240" w:lineRule="auto"/>
            </w:pPr>
            <w:r/>
            <w:r>
              <w:rPr>
                <w:rFonts w:ascii="Calibri" w:hAnsi="Calibri" w:cs="Calibri" w:eastAsia="Calibri"/>
                <w:b w:val="0"/>
                <w:sz w:val="17"/>
              </w:rPr>
              <w:t>CP-08</w:t>
            </w:r>
          </w:p>
        </w:tc>
        <w:tc>
          <w:tcPr>
            <w:tcW w:type="dxa" w:w="1361"/>
          </w:tcPr>
          <w:p>
            <w:pPr>
              <w:spacing w:after="0" w:line="240" w:lineRule="auto"/>
            </w:pPr>
            <w:r/>
            <w:r>
              <w:rPr>
                <w:rFonts w:ascii="Calibri" w:hAnsi="Calibri" w:cs="Calibri" w:eastAsia="Calibri"/>
                <w:b w:val="0"/>
                <w:sz w:val="17"/>
              </w:rPr>
              <w:t>Grave</w:t>
            </w:r>
          </w:p>
        </w:tc>
        <w:tc>
          <w:tcPr>
            <w:tcW w:type="dxa" w:w="2608"/>
          </w:tcPr>
          <w:p>
            <w:pPr>
              <w:spacing w:after="0" w:line="240" w:lineRule="auto"/>
            </w:pPr>
            <w:r/>
            <w:r>
              <w:rPr>
                <w:rFonts w:ascii="Calibri" w:hAnsi="Calibri" w:cs="Calibri" w:eastAsia="Calibri"/>
                <w:b w:val="0"/>
                <w:sz w:val="17"/>
              </w:rPr>
              <w:t>Ley 20.584 art. 13; DS 41 art. 9</w:t>
            </w:r>
          </w:p>
        </w:tc>
      </w:tr>
      <w:tr>
        <w:tc>
          <w:tcPr>
            <w:tcW w:type="dxa" w:w="794"/>
            <w:shd w:val="clear" w:color="auto" w:fill="EEF2F7"/>
          </w:tcPr>
          <w:p>
            <w:pPr>
              <w:spacing w:after="0" w:line="240" w:lineRule="auto"/>
            </w:pPr>
            <w:r/>
            <w:r>
              <w:rPr>
                <w:rFonts w:ascii="Calibri" w:hAnsi="Calibri" w:cs="Calibri" w:eastAsia="Calibri"/>
                <w:b w:val="0"/>
                <w:sz w:val="17"/>
              </w:rPr>
              <w:t>INC-08</w:t>
            </w:r>
          </w:p>
        </w:tc>
        <w:tc>
          <w:tcPr>
            <w:tcW w:type="dxa" w:w="3742"/>
            <w:shd w:val="clear" w:color="auto" w:fill="EEF2F7"/>
          </w:tcPr>
          <w:p>
            <w:pPr>
              <w:spacing w:after="0" w:line="240" w:lineRule="auto"/>
            </w:pPr>
            <w:r/>
            <w:r>
              <w:rPr>
                <w:rFonts w:ascii="Calibri" w:hAnsi="Calibri" w:cs="Calibri" w:eastAsia="Calibri"/>
                <w:b w:val="0"/>
                <w:sz w:val="17"/>
              </w:rPr>
              <w:t>Token guardado en localStorage, expuesto ante un XSS</w:t>
            </w:r>
          </w:p>
        </w:tc>
        <w:tc>
          <w:tcPr>
            <w:tcW w:type="dxa" w:w="1247"/>
            <w:shd w:val="clear" w:color="auto" w:fill="EEF2F7"/>
          </w:tcPr>
          <w:p>
            <w:pPr>
              <w:spacing w:after="0" w:line="240" w:lineRule="auto"/>
            </w:pPr>
            <w:r/>
            <w:r>
              <w:rPr>
                <w:rFonts w:ascii="Calibri" w:hAnsi="Calibri" w:cs="Calibri" w:eastAsia="Calibri"/>
                <w:b w:val="0"/>
                <w:sz w:val="17"/>
              </w:rPr>
              <w:t>CP-04</w:t>
            </w:r>
          </w:p>
        </w:tc>
        <w:tc>
          <w:tcPr>
            <w:tcW w:type="dxa" w:w="1361"/>
            <w:shd w:val="clear" w:color="auto" w:fill="EEF2F7"/>
          </w:tcPr>
          <w:p>
            <w:pPr>
              <w:spacing w:after="0" w:line="240" w:lineRule="auto"/>
            </w:pPr>
            <w:r/>
            <w:r>
              <w:rPr>
                <w:rFonts w:ascii="Calibri" w:hAnsi="Calibri" w:cs="Calibri" w:eastAsia="Calibri"/>
                <w:b w:val="0"/>
                <w:sz w:val="17"/>
              </w:rPr>
              <w:t>Moderado</w:t>
            </w:r>
          </w:p>
        </w:tc>
        <w:tc>
          <w:tcPr>
            <w:tcW w:type="dxa" w:w="2608"/>
            <w:shd w:val="clear" w:color="auto" w:fill="EEF2F7"/>
          </w:tcPr>
          <w:p>
            <w:pPr>
              <w:spacing w:after="0" w:line="240" w:lineRule="auto"/>
            </w:pPr>
            <w:r/>
            <w:r>
              <w:rPr>
                <w:rFonts w:ascii="Calibri" w:hAnsi="Calibri" w:cs="Calibri" w:eastAsia="Calibri"/>
                <w:b w:val="0"/>
                <w:sz w:val="17"/>
              </w:rPr>
              <w:t>DS 41 art. 8 I c)</w:t>
            </w:r>
          </w:p>
        </w:tc>
      </w:tr>
      <w:tr>
        <w:tc>
          <w:tcPr>
            <w:tcW w:type="dxa" w:w="794"/>
          </w:tcPr>
          <w:p>
            <w:pPr>
              <w:spacing w:after="0" w:line="240" w:lineRule="auto"/>
            </w:pPr>
            <w:r/>
            <w:r>
              <w:rPr>
                <w:rFonts w:ascii="Calibri" w:hAnsi="Calibri" w:cs="Calibri" w:eastAsia="Calibri"/>
                <w:b w:val="0"/>
                <w:sz w:val="17"/>
              </w:rPr>
              <w:t>INC-09</w:t>
            </w:r>
          </w:p>
        </w:tc>
        <w:tc>
          <w:tcPr>
            <w:tcW w:type="dxa" w:w="3742"/>
          </w:tcPr>
          <w:p>
            <w:pPr>
              <w:spacing w:after="0" w:line="240" w:lineRule="auto"/>
            </w:pPr>
            <w:r/>
            <w:r>
              <w:rPr>
                <w:rFonts w:ascii="Calibri" w:hAnsi="Calibri" w:cs="Calibri" w:eastAsia="Calibri"/>
                <w:b w:val="0"/>
                <w:sz w:val="17"/>
              </w:rPr>
              <w:t>Borrado físico (DELETE FROM) de exámenes, documentos, pacientes y usuarios</w:t>
            </w:r>
          </w:p>
        </w:tc>
        <w:tc>
          <w:tcPr>
            <w:tcW w:type="dxa" w:w="1247"/>
          </w:tcPr>
          <w:p>
            <w:pPr>
              <w:spacing w:after="0" w:line="240" w:lineRule="auto"/>
            </w:pPr>
            <w:r/>
            <w:r>
              <w:rPr>
                <w:rFonts w:ascii="Calibri" w:hAnsi="Calibri" w:cs="Calibri" w:eastAsia="Calibri"/>
                <w:b w:val="0"/>
                <w:sz w:val="17"/>
              </w:rPr>
              <w:t>CP-08, CP-11</w:t>
            </w:r>
          </w:p>
        </w:tc>
        <w:tc>
          <w:tcPr>
            <w:tcW w:type="dxa" w:w="1361"/>
          </w:tcPr>
          <w:p>
            <w:pPr>
              <w:spacing w:after="0" w:line="240" w:lineRule="auto"/>
            </w:pPr>
            <w:r/>
            <w:r>
              <w:rPr>
                <w:rFonts w:ascii="Calibri" w:hAnsi="Calibri" w:cs="Calibri" w:eastAsia="Calibri"/>
                <w:b w:val="0"/>
                <w:sz w:val="17"/>
              </w:rPr>
              <w:t>Grave (en la EV1 se proponía Moderado)</w:t>
            </w:r>
          </w:p>
        </w:tc>
        <w:tc>
          <w:tcPr>
            <w:tcW w:type="dxa" w:w="2608"/>
          </w:tcPr>
          <w:p>
            <w:pPr>
              <w:spacing w:after="0" w:line="240" w:lineRule="auto"/>
            </w:pPr>
            <w:r/>
            <w:r>
              <w:rPr>
                <w:rFonts w:ascii="Calibri" w:hAnsi="Calibri" w:cs="Calibri" w:eastAsia="Calibri"/>
                <w:b w:val="0"/>
                <w:sz w:val="17"/>
              </w:rPr>
              <w:t>Ley 20.584 art. 13 (15 años); DS 41 arts. 11 y 12</w:t>
            </w:r>
          </w:p>
        </w:tc>
      </w:tr>
      <w:tr>
        <w:tc>
          <w:tcPr>
            <w:tcW w:type="dxa" w:w="794"/>
            <w:shd w:val="clear" w:color="auto" w:fill="EEF2F7"/>
          </w:tcPr>
          <w:p>
            <w:pPr>
              <w:spacing w:after="0" w:line="240" w:lineRule="auto"/>
            </w:pPr>
            <w:r/>
            <w:r>
              <w:rPr>
                <w:rFonts w:ascii="Calibri" w:hAnsi="Calibri" w:cs="Calibri" w:eastAsia="Calibri"/>
                <w:b w:val="0"/>
                <w:sz w:val="17"/>
              </w:rPr>
              <w:t>INC-10</w:t>
            </w:r>
          </w:p>
        </w:tc>
        <w:tc>
          <w:tcPr>
            <w:tcW w:type="dxa" w:w="3742"/>
            <w:shd w:val="clear" w:color="auto" w:fill="EEF2F7"/>
          </w:tcPr>
          <w:p>
            <w:pPr>
              <w:spacing w:after="0" w:line="240" w:lineRule="auto"/>
            </w:pPr>
            <w:r/>
            <w:r>
              <w:rPr>
                <w:rFonts w:ascii="Calibri" w:hAnsi="Calibri" w:cs="Calibri" w:eastAsia="Calibri"/>
                <w:b w:val="0"/>
                <w:sz w:val="17"/>
              </w:rPr>
              <w:t>Contraseña mínima de 6 caracteres; el ERS exige 12 con complejidad</w:t>
            </w:r>
          </w:p>
        </w:tc>
        <w:tc>
          <w:tcPr>
            <w:tcW w:type="dxa" w:w="1247"/>
            <w:shd w:val="clear" w:color="auto" w:fill="EEF2F7"/>
          </w:tcPr>
          <w:p>
            <w:pPr>
              <w:spacing w:after="0" w:line="240" w:lineRule="auto"/>
            </w:pPr>
            <w:r/>
            <w:r>
              <w:rPr>
                <w:rFonts w:ascii="Calibri" w:hAnsi="Calibri" w:cs="Calibri" w:eastAsia="Calibri"/>
                <w:b w:val="0"/>
                <w:sz w:val="17"/>
              </w:rPr>
              <w:t>CP-09</w:t>
            </w:r>
          </w:p>
        </w:tc>
        <w:tc>
          <w:tcPr>
            <w:tcW w:type="dxa" w:w="1361"/>
            <w:shd w:val="clear" w:color="auto" w:fill="EEF2F7"/>
          </w:tcPr>
          <w:p>
            <w:pPr>
              <w:spacing w:after="0" w:line="240" w:lineRule="auto"/>
            </w:pPr>
            <w:r/>
            <w:r>
              <w:rPr>
                <w:rFonts w:ascii="Calibri" w:hAnsi="Calibri" w:cs="Calibri" w:eastAsia="Calibri"/>
                <w:b w:val="0"/>
                <w:sz w:val="17"/>
              </w:rPr>
              <w:t>Moderado</w:t>
            </w:r>
          </w:p>
        </w:tc>
        <w:tc>
          <w:tcPr>
            <w:tcW w:type="dxa" w:w="2608"/>
            <w:shd w:val="clear" w:color="auto" w:fill="EEF2F7"/>
          </w:tcPr>
          <w:p>
            <w:pPr>
              <w:spacing w:after="0" w:line="240" w:lineRule="auto"/>
            </w:pPr>
            <w:r/>
            <w:r>
              <w:rPr>
                <w:rFonts w:ascii="Calibri" w:hAnsi="Calibri" w:cs="Calibri" w:eastAsia="Calibri"/>
                <w:b w:val="0"/>
                <w:sz w:val="17"/>
              </w:rPr>
              <w:t>ERS §2.4; Ley 19.628 art. 11</w:t>
            </w:r>
          </w:p>
        </w:tc>
      </w:tr>
      <w:tr>
        <w:tc>
          <w:tcPr>
            <w:tcW w:type="dxa" w:w="794"/>
          </w:tcPr>
          <w:p>
            <w:pPr>
              <w:spacing w:after="0" w:line="240" w:lineRule="auto"/>
            </w:pPr>
            <w:r/>
            <w:r>
              <w:rPr>
                <w:rFonts w:ascii="Calibri" w:hAnsi="Calibri" w:cs="Calibri" w:eastAsia="Calibri"/>
                <w:b w:val="0"/>
                <w:sz w:val="17"/>
              </w:rPr>
              <w:t>INC-11</w:t>
            </w:r>
          </w:p>
        </w:tc>
        <w:tc>
          <w:tcPr>
            <w:tcW w:type="dxa" w:w="3742"/>
          </w:tcPr>
          <w:p>
            <w:pPr>
              <w:spacing w:after="0" w:line="240" w:lineRule="auto"/>
            </w:pPr>
            <w:r/>
            <w:r>
              <w:rPr>
                <w:rFonts w:ascii="Calibri" w:hAnsi="Calibri" w:cs="Calibri" w:eastAsia="Calibri"/>
                <w:b w:val="0"/>
                <w:sz w:val="17"/>
              </w:rPr>
              <w:t>Dependencias con vulnerabilidades conocidas (npm audit en backend y frontend)</w:t>
            </w:r>
          </w:p>
        </w:tc>
        <w:tc>
          <w:tcPr>
            <w:tcW w:type="dxa" w:w="1247"/>
          </w:tcPr>
          <w:p>
            <w:pPr>
              <w:spacing w:after="0" w:line="240" w:lineRule="auto"/>
            </w:pPr>
            <w:r/>
            <w:r>
              <w:rPr>
                <w:rFonts w:ascii="Calibri" w:hAnsi="Calibri" w:cs="Calibri" w:eastAsia="Calibri"/>
                <w:b w:val="0"/>
                <w:sz w:val="17"/>
              </w:rPr>
              <w:t>CP-17 (SonarQube y npm audit)</w:t>
            </w:r>
          </w:p>
        </w:tc>
        <w:tc>
          <w:tcPr>
            <w:tcW w:type="dxa" w:w="1361"/>
          </w:tcPr>
          <w:p>
            <w:pPr>
              <w:spacing w:after="0" w:line="240" w:lineRule="auto"/>
            </w:pPr>
            <w:r/>
            <w:r>
              <w:rPr>
                <w:rFonts w:ascii="Calibri" w:hAnsi="Calibri" w:cs="Calibri" w:eastAsia="Calibri"/>
                <w:b w:val="0"/>
                <w:sz w:val="17"/>
              </w:rPr>
              <w:t>Grave</w:t>
            </w:r>
          </w:p>
        </w:tc>
        <w:tc>
          <w:tcPr>
            <w:tcW w:type="dxa" w:w="2608"/>
          </w:tcPr>
          <w:p>
            <w:pPr>
              <w:spacing w:after="0" w:line="240" w:lineRule="auto"/>
            </w:pPr>
            <w:r/>
            <w:r>
              <w:rPr>
                <w:rFonts w:ascii="Calibri" w:hAnsi="Calibri" w:cs="Calibri" w:eastAsia="Calibri"/>
                <w:b w:val="0"/>
                <w:sz w:val="17"/>
              </w:rPr>
              <w:t>Ley 19.628 art. 11; Ley 17.336 arts. 78 y 79</w:t>
            </w:r>
          </w:p>
        </w:tc>
      </w:tr>
      <w:tr>
        <w:tc>
          <w:tcPr>
            <w:tcW w:type="dxa" w:w="794"/>
            <w:shd w:val="clear" w:color="auto" w:fill="EEF2F7"/>
          </w:tcPr>
          <w:p>
            <w:pPr>
              <w:spacing w:after="0" w:line="240" w:lineRule="auto"/>
            </w:pPr>
            <w:r/>
            <w:r>
              <w:rPr>
                <w:rFonts w:ascii="Calibri" w:hAnsi="Calibri" w:cs="Calibri" w:eastAsia="Calibri"/>
                <w:b w:val="0"/>
                <w:sz w:val="17"/>
              </w:rPr>
              <w:t>INC-12</w:t>
            </w:r>
          </w:p>
        </w:tc>
        <w:tc>
          <w:tcPr>
            <w:tcW w:type="dxa" w:w="3742"/>
            <w:shd w:val="clear" w:color="auto" w:fill="EEF2F7"/>
          </w:tcPr>
          <w:p>
            <w:pPr>
              <w:spacing w:after="0" w:line="240" w:lineRule="auto"/>
            </w:pPr>
            <w:r/>
            <w:r>
              <w:rPr>
                <w:rFonts w:ascii="Calibri" w:hAnsi="Calibri" w:cs="Calibri" w:eastAsia="Calibri"/>
                <w:b w:val="0"/>
                <w:sz w:val="17"/>
              </w:rPr>
              <w:t>El botón "Ver Documento" no muestra bien el adjunto (HALL-01 de la EV1)</w:t>
            </w:r>
          </w:p>
        </w:tc>
        <w:tc>
          <w:tcPr>
            <w:tcW w:type="dxa" w:w="1247"/>
            <w:shd w:val="clear" w:color="auto" w:fill="EEF2F7"/>
          </w:tcPr>
          <w:p>
            <w:pPr>
              <w:spacing w:after="0" w:line="240" w:lineRule="auto"/>
            </w:pPr>
            <w:r/>
            <w:r>
              <w:rPr>
                <w:rFonts w:ascii="Calibri" w:hAnsi="Calibri" w:cs="Calibri" w:eastAsia="Calibri"/>
                <w:b w:val="0"/>
                <w:sz w:val="17"/>
              </w:rPr>
              <w:t>CP-06, CP-13</w:t>
            </w:r>
          </w:p>
        </w:tc>
        <w:tc>
          <w:tcPr>
            <w:tcW w:type="dxa" w:w="1361"/>
            <w:shd w:val="clear" w:color="auto" w:fill="EEF2F7"/>
          </w:tcPr>
          <w:p>
            <w:pPr>
              <w:spacing w:after="0" w:line="240" w:lineRule="auto"/>
            </w:pPr>
            <w:r/>
            <w:r>
              <w:rPr>
                <w:rFonts w:ascii="Calibri" w:hAnsi="Calibri" w:cs="Calibri" w:eastAsia="Calibri"/>
                <w:b w:val="0"/>
                <w:sz w:val="17"/>
              </w:rPr>
              <w:t>Moderado</w:t>
            </w:r>
          </w:p>
        </w:tc>
        <w:tc>
          <w:tcPr>
            <w:tcW w:type="dxa" w:w="2608"/>
            <w:shd w:val="clear" w:color="auto" w:fill="EEF2F7"/>
          </w:tcPr>
          <w:p>
            <w:pPr>
              <w:spacing w:after="0" w:line="240" w:lineRule="auto"/>
            </w:pPr>
            <w:r/>
            <w:r>
              <w:rPr>
                <w:rFonts w:ascii="Calibri" w:hAnsi="Calibri" w:cs="Calibri" w:eastAsia="Calibri"/>
                <w:b w:val="0"/>
                <w:sz w:val="17"/>
              </w:rPr>
              <w:t>Ley 20.584 art. 13 a) (acceso del titular)</w:t>
            </w:r>
          </w:p>
        </w:tc>
      </w:tr>
      <w:tr>
        <w:tc>
          <w:tcPr>
            <w:tcW w:type="dxa" w:w="794"/>
          </w:tcPr>
          <w:p>
            <w:pPr>
              <w:spacing w:after="0" w:line="240" w:lineRule="auto"/>
            </w:pPr>
            <w:r/>
            <w:r>
              <w:rPr>
                <w:rFonts w:ascii="Calibri" w:hAnsi="Calibri" w:cs="Calibri" w:eastAsia="Calibri"/>
                <w:b w:val="0"/>
                <w:sz w:val="17"/>
              </w:rPr>
              <w:t>INC-13</w:t>
            </w:r>
          </w:p>
        </w:tc>
        <w:tc>
          <w:tcPr>
            <w:tcW w:type="dxa" w:w="3742"/>
          </w:tcPr>
          <w:p>
            <w:pPr>
              <w:spacing w:after="0" w:line="240" w:lineRule="auto"/>
            </w:pPr>
            <w:r/>
            <w:r>
              <w:rPr>
                <w:rFonts w:ascii="Calibri" w:hAnsi="Calibri" w:cs="Calibri" w:eastAsia="Calibri"/>
                <w:b w:val="0"/>
                <w:sz w:val="17"/>
              </w:rPr>
              <w:t>La descarga de documentos (GET /documentos/:id) no deja registro en la tabla auditoria; solo se auditan creación, edición y eliminación</w:t>
            </w:r>
          </w:p>
        </w:tc>
        <w:tc>
          <w:tcPr>
            <w:tcW w:type="dxa" w:w="1247"/>
          </w:tcPr>
          <w:p>
            <w:pPr>
              <w:spacing w:after="0" w:line="240" w:lineRule="auto"/>
            </w:pPr>
            <w:r/>
            <w:r>
              <w:rPr>
                <w:rFonts w:ascii="Calibri" w:hAnsi="Calibri" w:cs="Calibri" w:eastAsia="Calibri"/>
                <w:b w:val="0"/>
                <w:sz w:val="17"/>
              </w:rPr>
              <w:t>CP-03</w:t>
            </w:r>
          </w:p>
        </w:tc>
        <w:tc>
          <w:tcPr>
            <w:tcW w:type="dxa" w:w="1361"/>
          </w:tcPr>
          <w:p>
            <w:pPr>
              <w:spacing w:after="0" w:line="240" w:lineRule="auto"/>
            </w:pPr>
            <w:r/>
            <w:r>
              <w:rPr>
                <w:rFonts w:ascii="Calibri" w:hAnsi="Calibri" w:cs="Calibri" w:eastAsia="Calibri"/>
                <w:b w:val="0"/>
                <w:sz w:val="17"/>
              </w:rPr>
              <w:t>Grave</w:t>
            </w:r>
          </w:p>
        </w:tc>
        <w:tc>
          <w:tcPr>
            <w:tcW w:type="dxa" w:w="2608"/>
          </w:tcPr>
          <w:p>
            <w:pPr>
              <w:spacing w:after="0" w:line="240" w:lineRule="auto"/>
            </w:pPr>
            <w:r/>
            <w:r>
              <w:rPr>
                <w:rFonts w:ascii="Calibri" w:hAnsi="Calibri" w:cs="Calibri" w:eastAsia="Calibri"/>
                <w:b w:val="0"/>
                <w:sz w:val="17"/>
              </w:rPr>
              <w:t>DS 41 art. 9; RF-5.1</w:t>
            </w:r>
          </w:p>
        </w:tc>
      </w:tr>
      <w:tr>
        <w:tc>
          <w:tcPr>
            <w:tcW w:type="dxa" w:w="794"/>
            <w:shd w:val="clear" w:color="auto" w:fill="EEF2F7"/>
          </w:tcPr>
          <w:p>
            <w:pPr>
              <w:spacing w:after="0" w:line="240" w:lineRule="auto"/>
            </w:pPr>
            <w:r/>
            <w:r>
              <w:rPr>
                <w:rFonts w:ascii="Calibri" w:hAnsi="Calibri" w:cs="Calibri" w:eastAsia="Calibri"/>
                <w:b w:val="0"/>
                <w:sz w:val="17"/>
              </w:rPr>
              <w:t>INC-14</w:t>
            </w:r>
          </w:p>
        </w:tc>
        <w:tc>
          <w:tcPr>
            <w:tcW w:type="dxa" w:w="3742"/>
            <w:shd w:val="clear" w:color="auto" w:fill="EEF2F7"/>
          </w:tcPr>
          <w:p>
            <w:pPr>
              <w:spacing w:after="0" w:line="240" w:lineRule="auto"/>
            </w:pPr>
            <w:r/>
            <w:r>
              <w:rPr>
                <w:rFonts w:ascii="Calibri" w:hAnsi="Calibri" w:cs="Calibri" w:eastAsia="Calibri"/>
                <w:b w:val="0"/>
                <w:sz w:val="17"/>
              </w:rPr>
              <w:t>POST /auditoria permite que cualquier usuario con token escriba entradas en la auditoría (audit.js:19-35)</w:t>
            </w:r>
          </w:p>
        </w:tc>
        <w:tc>
          <w:tcPr>
            <w:tcW w:type="dxa" w:w="1247"/>
            <w:shd w:val="clear" w:color="auto" w:fill="EEF2F7"/>
          </w:tcPr>
          <w:p>
            <w:pPr>
              <w:spacing w:after="0" w:line="240" w:lineRule="auto"/>
            </w:pPr>
            <w:r/>
            <w:r>
              <w:rPr>
                <w:rFonts w:ascii="Calibri" w:hAnsi="Calibri" w:cs="Calibri" w:eastAsia="Calibri"/>
                <w:b w:val="0"/>
                <w:sz w:val="17"/>
              </w:rPr>
              <w:t>CP-03, CP-17</w:t>
            </w:r>
          </w:p>
        </w:tc>
        <w:tc>
          <w:tcPr>
            <w:tcW w:type="dxa" w:w="1361"/>
            <w:shd w:val="clear" w:color="auto" w:fill="EEF2F7"/>
          </w:tcPr>
          <w:p>
            <w:pPr>
              <w:spacing w:after="0" w:line="240" w:lineRule="auto"/>
            </w:pPr>
            <w:r/>
            <w:r>
              <w:rPr>
                <w:rFonts w:ascii="Calibri" w:hAnsi="Calibri" w:cs="Calibri" w:eastAsia="Calibri"/>
                <w:b w:val="0"/>
                <w:sz w:val="17"/>
              </w:rPr>
              <w:t>Moderado</w:t>
            </w:r>
          </w:p>
        </w:tc>
        <w:tc>
          <w:tcPr>
            <w:tcW w:type="dxa" w:w="2608"/>
            <w:shd w:val="clear" w:color="auto" w:fill="EEF2F7"/>
          </w:tcPr>
          <w:p>
            <w:pPr>
              <w:spacing w:after="0" w:line="240" w:lineRule="auto"/>
            </w:pPr>
            <w:r/>
            <w:r>
              <w:rPr>
                <w:rFonts w:ascii="Calibri" w:hAnsi="Calibri" w:cs="Calibri" w:eastAsia="Calibri"/>
                <w:b w:val="0"/>
                <w:sz w:val="17"/>
              </w:rPr>
              <w:t>DS 41 art. 9; Ley 21.663 art. 9</w:t>
            </w:r>
          </w:p>
        </w:tc>
      </w:tr>
      <w:tr>
        <w:tc>
          <w:tcPr>
            <w:tcW w:type="dxa" w:w="794"/>
          </w:tcPr>
          <w:p>
            <w:pPr>
              <w:spacing w:after="0" w:line="240" w:lineRule="auto"/>
            </w:pPr>
            <w:r/>
            <w:r>
              <w:rPr>
                <w:rFonts w:ascii="Calibri" w:hAnsi="Calibri" w:cs="Calibri" w:eastAsia="Calibri"/>
                <w:b w:val="0"/>
                <w:sz w:val="17"/>
              </w:rPr>
              <w:t>INC-15</w:t>
            </w:r>
          </w:p>
        </w:tc>
        <w:tc>
          <w:tcPr>
            <w:tcW w:type="dxa" w:w="3742"/>
          </w:tcPr>
          <w:p>
            <w:pPr>
              <w:spacing w:after="0" w:line="240" w:lineRule="auto"/>
            </w:pPr>
            <w:r/>
            <w:r>
              <w:rPr>
                <w:rFonts w:ascii="Calibri" w:hAnsi="Calibri" w:cs="Calibri" w:eastAsia="Calibri"/>
                <w:b w:val="0"/>
                <w:sz w:val="17"/>
              </w:rPr>
              <w:t>El filtro de carga solo acepta PDF, JPG y PNG; el ERS pide además DOC y PPT (documentos.js:15-27)</w:t>
            </w:r>
          </w:p>
        </w:tc>
        <w:tc>
          <w:tcPr>
            <w:tcW w:type="dxa" w:w="1247"/>
          </w:tcPr>
          <w:p>
            <w:pPr>
              <w:spacing w:after="0" w:line="240" w:lineRule="auto"/>
            </w:pPr>
            <w:r/>
            <w:r>
              <w:rPr>
                <w:rFonts w:ascii="Calibri" w:hAnsi="Calibri" w:cs="Calibri" w:eastAsia="Calibri"/>
                <w:b w:val="0"/>
                <w:sz w:val="17"/>
              </w:rPr>
              <w:t>CP-13</w:t>
            </w:r>
          </w:p>
        </w:tc>
        <w:tc>
          <w:tcPr>
            <w:tcW w:type="dxa" w:w="1361"/>
          </w:tcPr>
          <w:p>
            <w:pPr>
              <w:spacing w:after="0" w:line="240" w:lineRule="auto"/>
            </w:pPr>
            <w:r/>
            <w:r>
              <w:rPr>
                <w:rFonts w:ascii="Calibri" w:hAnsi="Calibri" w:cs="Calibri" w:eastAsia="Calibri"/>
                <w:b w:val="0"/>
                <w:sz w:val="17"/>
              </w:rPr>
              <w:t>Leve</w:t>
            </w:r>
          </w:p>
        </w:tc>
        <w:tc>
          <w:tcPr>
            <w:tcW w:type="dxa" w:w="2608"/>
          </w:tcPr>
          <w:p>
            <w:pPr>
              <w:spacing w:after="0" w:line="240" w:lineRule="auto"/>
            </w:pPr>
            <w:r/>
            <w:r>
              <w:rPr>
                <w:rFonts w:ascii="Calibri" w:hAnsi="Calibri" w:cs="Calibri" w:eastAsia="Calibri"/>
                <w:b w:val="0"/>
                <w:sz w:val="17"/>
              </w:rPr>
              <w:t>RF-4.3 (incumplimiento del ERS, sin impacto legal directo)</w:t>
            </w:r>
          </w:p>
        </w:tc>
      </w:tr>
      <w:tr>
        <w:tc>
          <w:tcPr>
            <w:tcW w:type="dxa" w:w="794"/>
            <w:shd w:val="clear" w:color="auto" w:fill="EEF2F7"/>
          </w:tcPr>
          <w:p>
            <w:pPr>
              <w:spacing w:after="0" w:line="240" w:lineRule="auto"/>
            </w:pPr>
            <w:r/>
            <w:r>
              <w:rPr>
                <w:rFonts w:ascii="Calibri" w:hAnsi="Calibri" w:cs="Calibri" w:eastAsia="Calibri"/>
                <w:b w:val="0"/>
                <w:sz w:val="17"/>
              </w:rPr>
              <w:t>INC-16</w:t>
            </w:r>
          </w:p>
        </w:tc>
        <w:tc>
          <w:tcPr>
            <w:tcW w:type="dxa" w:w="3742"/>
            <w:shd w:val="clear" w:color="auto" w:fill="EEF2F7"/>
          </w:tcPr>
          <w:p>
            <w:pPr>
              <w:spacing w:after="0" w:line="240" w:lineRule="auto"/>
            </w:pPr>
            <w:r/>
            <w:r>
              <w:rPr>
                <w:rFonts w:ascii="Calibri" w:hAnsi="Calibri" w:cs="Calibri" w:eastAsia="Calibri"/>
                <w:b w:val="0"/>
                <w:sz w:val="17"/>
              </w:rPr>
              <w:t>El archivo se guarda completo en la columna bytea de documentos_examen, no en storage interno con referencia; además app.js:43 publica la carpeta uploads/documentos sin autenticación</w:t>
            </w:r>
          </w:p>
        </w:tc>
        <w:tc>
          <w:tcPr>
            <w:tcW w:type="dxa" w:w="1247"/>
            <w:shd w:val="clear" w:color="auto" w:fill="EEF2F7"/>
          </w:tcPr>
          <w:p>
            <w:pPr>
              <w:spacing w:after="0" w:line="240" w:lineRule="auto"/>
            </w:pPr>
            <w:r/>
            <w:r>
              <w:rPr>
                <w:rFonts w:ascii="Calibri" w:hAnsi="Calibri" w:cs="Calibri" w:eastAsia="Calibri"/>
                <w:b w:val="0"/>
                <w:sz w:val="17"/>
              </w:rPr>
              <w:t>CP-13, CP-16</w:t>
            </w:r>
          </w:p>
        </w:tc>
        <w:tc>
          <w:tcPr>
            <w:tcW w:type="dxa" w:w="1361"/>
            <w:shd w:val="clear" w:color="auto" w:fill="EEF2F7"/>
          </w:tcPr>
          <w:p>
            <w:pPr>
              <w:spacing w:after="0" w:line="240" w:lineRule="auto"/>
            </w:pPr>
            <w:r/>
            <w:r>
              <w:rPr>
                <w:rFonts w:ascii="Calibri" w:hAnsi="Calibri" w:cs="Calibri" w:eastAsia="Calibri"/>
                <w:b w:val="0"/>
                <w:sz w:val="17"/>
              </w:rPr>
              <w:t>Moderado</w:t>
            </w:r>
          </w:p>
        </w:tc>
        <w:tc>
          <w:tcPr>
            <w:tcW w:type="dxa" w:w="2608"/>
            <w:shd w:val="clear" w:color="auto" w:fill="EEF2F7"/>
          </w:tcPr>
          <w:p>
            <w:pPr>
              <w:spacing w:after="0" w:line="240" w:lineRule="auto"/>
            </w:pPr>
            <w:r/>
            <w:r>
              <w:rPr>
                <w:rFonts w:ascii="Calibri" w:hAnsi="Calibri" w:cs="Calibri" w:eastAsia="Calibri"/>
                <w:b w:val="0"/>
                <w:sz w:val="17"/>
              </w:rPr>
              <w:t>RF-4.4; DS 41 art. 8; Ley 20.584 art. 13</w:t>
            </w:r>
          </w:p>
        </w:tc>
      </w:tr>
    </w:tbl>
    <w:p>
      <w:pPr>
        <w:spacing w:after="40"/>
      </w:pPr>
    </w:p>
    <w:p>
      <w:pPr>
        <w:jc w:val="both"/>
      </w:pPr>
      <w:r>
        <w:rPr>
          <w:rFonts w:ascii="Calibri" w:hAnsi="Calibri" w:cs="Calibri" w:eastAsia="Calibri"/>
          <w:i w:val="0"/>
          <w:sz w:val="22"/>
        </w:rPr>
        <w:t>Sobre la severidad de INC-09 tomamos una decisión distinta a la de la EV1. El borrado físico no bloquea el uso del sistema, pero una ficha clínica que se elimina sin acta antes de 15 años no se puede recuperar y deja al prestador fuera de los artículos 11 y 12 del DS 41. Por el impacto legal y porque no tiene vuelta atrás, lo clasificamos como Grave.</w:t>
      </w:r>
    </w:p>
    <w:p>
      <w:pPr>
        <w:jc w:val="both"/>
      </w:pPr>
      <w:r>
        <w:rPr>
          <w:rFonts w:ascii="Calibri" w:hAnsi="Calibri" w:cs="Calibri" w:eastAsia="Calibri"/>
          <w:i w:val="0"/>
          <w:sz w:val="22"/>
        </w:rPr>
        <w:t>Los controles que sí funcionan también se informan, porque el análisis no busca solo errores. En el código, el login usa consultas parametrizadas (lo que resiste la carga ' OR 1=1 --), la ruta /usuarios rechaza con 403 a un paciente y la descarga de documentos limita al paciente a sus propios archivos (documentos.js:143 y 222). La carga de archivos limita el tamaño a 10 MB. CP-04 y CP-12 confirman estos controles en la ejecución.</w:t>
      </w:r>
    </w:p>
    <w:p>
      <w:pPr>
        <w:pStyle w:val="Heading2"/>
      </w:pPr>
      <w:r>
        <w:t>6.5 Lectura ética</w:t>
      </w:r>
    </w:p>
    <w:p>
      <w:pPr>
        <w:jc w:val="both"/>
      </w:pPr>
      <w:r>
        <w:rPr>
          <w:rFonts w:ascii="Calibri" w:hAnsi="Calibri" w:cs="Calibri" w:eastAsia="Calibri"/>
          <w:i w:val="0"/>
          <w:sz w:val="22"/>
        </w:rPr>
        <w:t>La parte legal indica qué se puede sancionar. La parte ética parte de algo más simple: en Cuidarte+ las personas afectadas son pacientes, muchos de ellos adultos mayores según el propio ERS, y un examen filtrado no se puede deshacer. Con esa idea definimos cuatro criterios de trabajo para la EP3.</w:t>
      </w:r>
    </w:p>
    <w:p>
      <w:pPr>
        <w:jc w:val="both"/>
      </w:pPr>
      <w:r>
        <w:rPr>
          <w:rFonts w:ascii="Calibri" w:hAnsi="Calibri" w:cs="Calibri" w:eastAsia="Calibri"/>
          <w:i w:val="0"/>
          <w:sz w:val="22"/>
        </w:rPr>
        <w:t>El primero es usar solo datos sintéticos. Ninguna prueba utiliza RUT ni datos reales, aunque el ambiente sea local, y las cuentas de prueba tienen nombres y correos ficticios. El segundo es reportar todo lo encontrado, incluido lo incómodo, como la tensión de RB-3 con la Ley 20.584; ocultar un hallazgo para que el informe se vea mejor sería faltar a la responsabilidad que asumimos como equipo de calidad. El tercero es no probar fuera del alcance: OWASP ZAP, Burp Suite, Nikto, SQLMap y John the Ripper se ejecutan solo contra nuestra instalación en Docker, porque usar esas mismas herramientas contra un sistema ajeno sin autorización es la conducta que sanciona la Ley 21.459. El cuarto es no minimizar el impacto en las personas mayores: un mensaje técnico como el de INC-06 o un botón que no abre el documento como en INC-12 puede dejar a un paciente sin acceso a sus resultados, lo que afecta un derecho que la Ley 20.584 le reconoce.</w:t>
      </w:r>
    </w:p>
    <w:p>
      <w:pPr>
        <w:pStyle w:val="Heading2"/>
      </w:pPr>
      <w:r>
        <w:t>6.6 Dictamen provisional</w:t>
      </w:r>
    </w:p>
    <w:p>
      <w:pPr>
        <w:jc w:val="both"/>
      </w:pPr>
      <w:r>
        <w:rPr>
          <w:rFonts w:ascii="Calibri" w:hAnsi="Calibri" w:cs="Calibri" w:eastAsia="Calibri"/>
          <w:b/>
          <w:sz w:val="22"/>
        </w:rPr>
        <w:t xml:space="preserve">Dictamen provisional: </w:t>
      </w:r>
      <w:r>
        <w:rPr>
          <w:rFonts w:ascii="Calibri" w:hAnsi="Calibri" w:cs="Calibri" w:eastAsia="Calibri"/>
          <w:i w:val="0"/>
          <w:sz w:val="22"/>
        </w:rPr>
        <w:t>NO CERTIFICADO.</w:t>
      </w:r>
    </w:p>
    <w:p>
      <w:pPr>
        <w:jc w:val="both"/>
      </w:pPr>
      <w:r>
        <w:rPr>
          <w:rFonts w:ascii="Calibri" w:hAnsi="Calibri" w:cs="Calibri" w:eastAsia="Calibri"/>
          <w:i w:val="0"/>
          <w:sz w:val="22"/>
        </w:rPr>
        <w:t>Mientras INC-01 siga abierto, el sistema no puede certificarse. El criterio de aceptación del ERS para seguridad exige pruebas de penetración sin hallazgos críticos, y la actividad 2.4.2 del curso establece que un software con defectos críticos abiertos no se certifica. A esto se suman incidentes graves que afectan directamente la confidencialidad de la ficha clínica (INC-02, INC-03, INC-07 e INC-13).</w:t>
      </w:r>
    </w:p>
    <w:p>
      <w:pPr>
        <w:jc w:val="both"/>
      </w:pPr>
      <w:r>
        <w:rPr>
          <w:rFonts w:ascii="Calibri" w:hAnsi="Calibri" w:cs="Calibri" w:eastAsia="Calibri"/>
          <w:i w:val="0"/>
          <w:sz w:val="22"/>
        </w:rPr>
        <w:t>El dictamen se revisa al cierre de la ejecución con los números reales de la bitácora: casos diseñados, ejecutados, aprobados, fallidos y bloqueados. Para pasar a Certificado con reservas se necesitaría, como mínimo, cerrar INC-01, INC-02 e INC-07 y presentar un plan con fechas para el resto de los incidentes graves. Si la ejecución no confirma alguno de los incidentes de la Tabla 6.2, se retira de la tabla y se indica en el resumen de ejecución.</w:t>
      </w:r>
    </w:p>
    <w:p>
      <w:pPr>
        <w:pStyle w:val="Heading2"/>
      </w:pPr>
      <w:r>
        <w:t>6.7 Recomendaciones</w:t>
      </w:r>
    </w:p>
    <w:p>
      <w:pPr>
        <w:jc w:val="both"/>
      </w:pPr>
      <w:r>
        <w:rPr>
          <w:rFonts w:ascii="Calibri" w:hAnsi="Calibri" w:cs="Calibri" w:eastAsia="Calibri"/>
          <w:i w:val="0"/>
          <w:sz w:val="22"/>
        </w:rPr>
        <w:t>Las recomendaciones están ordenadas por urgencia y cada una se apoya en un hallazgo o en un artículo concreto.</w:t>
      </w:r>
    </w:p>
    <w:p>
      <w:pPr>
        <w:pStyle w:val="ListNumber"/>
        <w:jc w:val="both"/>
      </w:pPr>
      <w:r>
        <w:rPr>
          <w:rFonts w:ascii="Calibri" w:hAnsi="Calibri" w:cs="Calibri" w:eastAsia="Calibri"/>
          <w:b/>
          <w:sz w:val="22"/>
        </w:rPr>
        <w:t xml:space="preserve">Hash de contraseñas con bcrypt. </w:t>
      </w:r>
      <w:r>
        <w:rPr>
          <w:rFonts w:ascii="Calibri" w:hAnsi="Calibri" w:cs="Calibri" w:eastAsia="Calibri"/>
          <w:sz w:val="22"/>
        </w:rPr>
        <w:t>Aplicarlo en el registro y en el login, y cambiar las contraseñas de los usuarios semilla (INC-01 e INC-10). Base: Ley 19.628 art. 11 y ERS §2.4.</w:t>
      </w:r>
    </w:p>
    <w:p>
      <w:pPr>
        <w:pStyle w:val="ListNumber"/>
        <w:jc w:val="both"/>
      </w:pPr>
      <w:r>
        <w:rPr>
          <w:rFonts w:ascii="Calibri" w:hAnsi="Calibri" w:cs="Calibri" w:eastAsia="Calibri"/>
          <w:b/>
          <w:sz w:val="22"/>
        </w:rPr>
        <w:t xml:space="preserve">Rotar el secreto JWT e implementar logout. </w:t>
      </w:r>
      <w:r>
        <w:rPr>
          <w:rFonts w:ascii="Calibri" w:hAnsi="Calibri" w:cs="Calibri" w:eastAsia="Calibri"/>
          <w:sz w:val="22"/>
        </w:rPr>
        <w:t>Sacar el secreto del README y del .env versionado, y agregar revocación de tokens (INC-02, INC-03 y RF-1.2).</w:t>
      </w:r>
    </w:p>
    <w:p>
      <w:pPr>
        <w:pStyle w:val="ListNumber"/>
        <w:jc w:val="both"/>
      </w:pPr>
      <w:r>
        <w:rPr>
          <w:rFonts w:ascii="Calibri" w:hAnsi="Calibri" w:cs="Calibri" w:eastAsia="Calibri"/>
          <w:b/>
          <w:sz w:val="22"/>
        </w:rPr>
        <w:t xml:space="preserve">Control de rol en /roles. </w:t>
      </w:r>
      <w:r>
        <w:rPr>
          <w:rFonts w:ascii="Calibri" w:hAnsi="Calibri" w:cs="Calibri" w:eastAsia="Calibri"/>
          <w:sz w:val="22"/>
        </w:rPr>
        <w:t>Revisar además el resto de las rutas de administración (INC-07). Base: Ley 20.584 art. 13.</w:t>
      </w:r>
    </w:p>
    <w:p>
      <w:pPr>
        <w:pStyle w:val="ListNumber"/>
        <w:jc w:val="both"/>
      </w:pPr>
      <w:r>
        <w:rPr>
          <w:rFonts w:ascii="Calibri" w:hAnsi="Calibri" w:cs="Calibri" w:eastAsia="Calibri"/>
          <w:b/>
          <w:sz w:val="22"/>
        </w:rPr>
        <w:t xml:space="preserve">Auditar lecturas y descargas. </w:t>
      </w:r>
      <w:r>
        <w:rPr>
          <w:rFonts w:ascii="Calibri" w:hAnsi="Calibri" w:cs="Calibri" w:eastAsia="Calibri"/>
          <w:sz w:val="22"/>
        </w:rPr>
        <w:t>Registrar quién, cuándo y qué recurso, y cerrar POST /auditoria a los clientes (INC-13 e INC-14). Base: DS 41 art. 9.</w:t>
      </w:r>
    </w:p>
    <w:p>
      <w:pPr>
        <w:pStyle w:val="ListNumber"/>
        <w:jc w:val="both"/>
      </w:pPr>
      <w:r>
        <w:rPr>
          <w:rFonts w:ascii="Calibri" w:hAnsi="Calibri" w:cs="Calibri" w:eastAsia="Calibri"/>
          <w:b/>
          <w:sz w:val="22"/>
        </w:rPr>
        <w:t xml:space="preserve">Baja lógica en lugar de borrado físico. </w:t>
      </w:r>
      <w:r>
        <w:rPr>
          <w:rFonts w:ascii="Calibri" w:hAnsi="Calibri" w:cs="Calibri" w:eastAsia="Calibri"/>
          <w:sz w:val="22"/>
        </w:rPr>
        <w:t>Definir la conservación por 15 años y la eliminación con acta (INC-09). Base: Ley 20.584 art. 13 y DS 41 arts. 11 y 12.</w:t>
      </w:r>
    </w:p>
    <w:p>
      <w:pPr>
        <w:pStyle w:val="ListNumber"/>
        <w:jc w:val="both"/>
      </w:pPr>
      <w:r>
        <w:rPr>
          <w:rFonts w:ascii="Calibri" w:hAnsi="Calibri" w:cs="Calibri" w:eastAsia="Calibri"/>
          <w:b/>
          <w:sz w:val="22"/>
        </w:rPr>
        <w:t xml:space="preserve">Revisar RB-3 y RB-2 con el cliente. </w:t>
      </w:r>
      <w:r>
        <w:rPr>
          <w:rFonts w:ascii="Calibri" w:hAnsi="Calibri" w:cs="Calibri" w:eastAsia="Calibri"/>
          <w:sz w:val="22"/>
        </w:rPr>
        <w:t>Acceso del médico a sus pacientes y acceso de emergencia registrado (OC-01). Base: Ley 20.584 arts. 13 y 15 b).</w:t>
      </w:r>
    </w:p>
    <w:p>
      <w:pPr>
        <w:pStyle w:val="ListNumber"/>
        <w:jc w:val="both"/>
      </w:pPr>
      <w:r>
        <w:rPr>
          <w:rFonts w:ascii="Calibri" w:hAnsi="Calibri" w:cs="Calibri" w:eastAsia="Calibri"/>
          <w:b/>
          <w:sz w:val="22"/>
        </w:rPr>
        <w:t xml:space="preserve">Quitar el retraso artificial de 5 segundos. </w:t>
      </w:r>
      <w:r>
        <w:rPr>
          <w:rFonts w:ascii="Calibri" w:hAnsi="Calibri" w:cs="Calibri" w:eastAsia="Calibri"/>
          <w:sz w:val="22"/>
        </w:rPr>
        <w:t>Medir otra vez los tiempos sin él (INC-04). Base: acceso oportuno, Ley 20.584 art. 13.</w:t>
      </w:r>
    </w:p>
    <w:p>
      <w:pPr>
        <w:pStyle w:val="ListNumber"/>
        <w:jc w:val="both"/>
      </w:pPr>
      <w:r>
        <w:rPr>
          <w:rFonts w:ascii="Calibri" w:hAnsi="Calibri" w:cs="Calibri" w:eastAsia="Calibri"/>
          <w:b/>
          <w:sz w:val="22"/>
        </w:rPr>
        <w:t xml:space="preserve">Preparar el sistema para la Ley 21.719 antes del 01-12-2026. </w:t>
      </w:r>
      <w:r>
        <w:rPr>
          <w:rFonts w:ascii="Calibri" w:hAnsi="Calibri" w:cs="Calibri" w:eastAsia="Calibri"/>
          <w:sz w:val="22"/>
        </w:rPr>
        <w:t>Cifrado en reposo de los datos sensibles (NFR-SEG-3), procedimiento para reportar vulneraciones (art. 14 sexies) y prueba periódica de restauración de respaldos (art. 14 quinquies y DS 41 art. 8).</w:t>
      </w:r>
    </w:p>
    <w:p>
      <w:pPr>
        <w:pStyle w:val="ListNumber"/>
        <w:jc w:val="both"/>
      </w:pPr>
      <w:r>
        <w:rPr>
          <w:rFonts w:ascii="Calibri" w:hAnsi="Calibri" w:cs="Calibri" w:eastAsia="Calibri"/>
          <w:b/>
          <w:sz w:val="22"/>
        </w:rPr>
        <w:t xml:space="preserve">Logs útiles y sin secretos. </w:t>
      </w:r>
      <w:r>
        <w:rPr>
          <w:rFonts w:ascii="Calibri" w:hAnsi="Calibri" w:cs="Calibri" w:eastAsia="Calibri"/>
          <w:sz w:val="22"/>
        </w:rPr>
        <w:t>Mensajes genéricos al usuario y detalle técnico solo en el servidor (INC-06 y NFR-SEG-6), para que el centro pueda cumplir la alerta de tres horas del art. 9 de la Ley 21.663.</w:t>
      </w:r>
    </w:p>
    <w:p>
      <w:pPr>
        <w:pStyle w:val="ListNumber"/>
        <w:jc w:val="both"/>
      </w:pPr>
      <w:r>
        <w:rPr>
          <w:rFonts w:ascii="Calibri" w:hAnsi="Calibri" w:cs="Calibri" w:eastAsia="Calibri"/>
          <w:b/>
          <w:sz w:val="22"/>
        </w:rPr>
        <w:t xml:space="preserve">Dependencias y documentos. </w:t>
      </w:r>
      <w:r>
        <w:rPr>
          <w:rFonts w:ascii="Calibri" w:hAnsi="Calibri" w:cs="Calibri" w:eastAsia="Calibri"/>
          <w:sz w:val="22"/>
        </w:rPr>
        <w:t>Actualizar las dependencias vulnerables y revisar sus licencias (INC-11). Guardar los documentos en storage interno con referencia en la base de datos y proteger la ruta /files/documentos con autenticación (INC-16).</w:t>
      </w:r>
    </w:p>
    <w:p>
      <w:pPr>
        <w:pStyle w:val="Heading2"/>
      </w:pPr>
      <w:r>
        <w:t>6.8 Fuentes</w:t>
      </w:r>
    </w:p>
    <w:p>
      <w:pPr>
        <w:keepNext/>
        <w:spacing w:after="60"/>
      </w:pPr>
      <w:r>
        <w:rPr>
          <w:rFonts w:ascii="Calibri" w:hAnsi="Calibri" w:cs="Calibri" w:eastAsia="Calibri"/>
          <w:b/>
          <w:sz w:val="20"/>
        </w:rPr>
        <w:t>Tabla 6.3. Fuentes consultadas (revisadas el 19-10-2026)</w:t>
      </w:r>
    </w:p>
    <w:tbl>
      <w:tblPr>
        <w:tblStyle w:val="TableGrid"/>
        <w:tblW w:type="auto" w:w="0"/>
        <w:jc w:val="center"/>
        <w:tblLayout w:type="fixed"/>
        <w:tblLook w:firstColumn="1" w:firstRow="1" w:lastColumn="0" w:lastRow="0" w:noHBand="0" w:noVBand="1" w:val="04A0"/>
      </w:tblPr>
      <w:tblGrid>
        <w:gridCol w:w="2835"/>
        <w:gridCol w:w="6917"/>
      </w:tblGrid>
      <w:tr>
        <w:trPr>
          <w:tblHeader w:val="true"/>
        </w:trPr>
        <w:tc>
          <w:tcPr>
            <w:tcW w:type="dxa" w:w="2835"/>
            <w:shd w:val="clear" w:color="auto" w:fill="1F3A5F"/>
          </w:tcPr>
          <w:p>
            <w:r/>
            <w:r>
              <w:rPr>
                <w:rFonts w:ascii="Calibri" w:hAnsi="Calibri" w:cs="Calibri" w:eastAsia="Calibri"/>
                <w:b/>
                <w:color w:val="FFFFFF"/>
                <w:sz w:val="18"/>
              </w:rPr>
              <w:t>Fuente</w:t>
            </w:r>
          </w:p>
        </w:tc>
        <w:tc>
          <w:tcPr>
            <w:tcW w:type="dxa" w:w="6917"/>
            <w:shd w:val="clear" w:color="auto" w:fill="1F3A5F"/>
          </w:tcPr>
          <w:p>
            <w:r/>
            <w:r>
              <w:rPr>
                <w:rFonts w:ascii="Calibri" w:hAnsi="Calibri" w:cs="Calibri" w:eastAsia="Calibri"/>
                <w:b/>
                <w:color w:val="FFFFFF"/>
                <w:sz w:val="18"/>
              </w:rPr>
              <w:t>Referencia</w:t>
            </w:r>
          </w:p>
        </w:tc>
      </w:tr>
      <w:tr>
        <w:tc>
          <w:tcPr>
            <w:tcW w:type="dxa" w:w="2835"/>
          </w:tcPr>
          <w:p>
            <w:pPr>
              <w:spacing w:after="0" w:line="240" w:lineRule="auto"/>
            </w:pPr>
            <w:r/>
            <w:r>
              <w:rPr>
                <w:rFonts w:ascii="Calibri" w:hAnsi="Calibri" w:cs="Calibri" w:eastAsia="Calibri"/>
                <w:b w:val="0"/>
                <w:sz w:val="18"/>
              </w:rPr>
              <w:t>Ley 20.584</w:t>
            </w:r>
          </w:p>
        </w:tc>
        <w:tc>
          <w:tcPr>
            <w:tcW w:type="dxa" w:w="6917"/>
          </w:tcPr>
          <w:p>
            <w:pPr>
              <w:spacing w:after="0" w:line="240" w:lineRule="auto"/>
            </w:pPr>
            <w:r/>
            <w:r>
              <w:rPr>
                <w:rFonts w:ascii="Calibri" w:hAnsi="Calibri" w:cs="Calibri" w:eastAsia="Calibri"/>
                <w:b w:val="0"/>
                <w:sz w:val="18"/>
              </w:rPr>
              <w:t>LeyChile, idNorma 1039348, texto vigente (versión del 16-02-2026). https://www.bcn.cl/leychile/navegar?idNorma=1039348</w:t>
            </w:r>
          </w:p>
        </w:tc>
      </w:tr>
      <w:tr>
        <w:tc>
          <w:tcPr>
            <w:tcW w:type="dxa" w:w="2835"/>
            <w:shd w:val="clear" w:color="auto" w:fill="EEF2F7"/>
          </w:tcPr>
          <w:p>
            <w:pPr>
              <w:spacing w:after="0" w:line="240" w:lineRule="auto"/>
            </w:pPr>
            <w:r/>
            <w:r>
              <w:rPr>
                <w:rFonts w:ascii="Calibri" w:hAnsi="Calibri" w:cs="Calibri" w:eastAsia="Calibri"/>
                <w:b w:val="0"/>
                <w:sz w:val="18"/>
              </w:rPr>
              <w:t>Ley 21.668</w:t>
            </w:r>
          </w:p>
        </w:tc>
        <w:tc>
          <w:tcPr>
            <w:tcW w:type="dxa" w:w="6917"/>
            <w:shd w:val="clear" w:color="auto" w:fill="EEF2F7"/>
          </w:tcPr>
          <w:p>
            <w:pPr>
              <w:spacing w:after="0" w:line="240" w:lineRule="auto"/>
            </w:pPr>
            <w:r/>
            <w:r>
              <w:rPr>
                <w:rFonts w:ascii="Calibri" w:hAnsi="Calibri" w:cs="Calibri" w:eastAsia="Calibri"/>
                <w:b w:val="0"/>
                <w:sz w:val="18"/>
              </w:rPr>
              <w:t>LeyChile, idNorma 1203827. Diario Oficial del 28-05-2024</w:t>
            </w:r>
          </w:p>
        </w:tc>
      </w:tr>
      <w:tr>
        <w:tc>
          <w:tcPr>
            <w:tcW w:type="dxa" w:w="2835"/>
          </w:tcPr>
          <w:p>
            <w:pPr>
              <w:spacing w:after="0" w:line="240" w:lineRule="auto"/>
            </w:pPr>
            <w:r/>
            <w:r>
              <w:rPr>
                <w:rFonts w:ascii="Calibri" w:hAnsi="Calibri" w:cs="Calibri" w:eastAsia="Calibri"/>
                <w:b w:val="0"/>
                <w:sz w:val="18"/>
              </w:rPr>
              <w:t>Decreto 41 de 2012, MINSAL</w:t>
            </w:r>
          </w:p>
        </w:tc>
        <w:tc>
          <w:tcPr>
            <w:tcW w:type="dxa" w:w="6917"/>
          </w:tcPr>
          <w:p>
            <w:pPr>
              <w:spacing w:after="0" w:line="240" w:lineRule="auto"/>
            </w:pPr>
            <w:r/>
            <w:r>
              <w:rPr>
                <w:rFonts w:ascii="Calibri" w:hAnsi="Calibri" w:cs="Calibri" w:eastAsia="Calibri"/>
                <w:b w:val="0"/>
                <w:sz w:val="18"/>
              </w:rPr>
              <w:t>LeyChile, idNorma 1046753</w:t>
            </w:r>
          </w:p>
        </w:tc>
      </w:tr>
      <w:tr>
        <w:tc>
          <w:tcPr>
            <w:tcW w:type="dxa" w:w="2835"/>
            <w:shd w:val="clear" w:color="auto" w:fill="EEF2F7"/>
          </w:tcPr>
          <w:p>
            <w:pPr>
              <w:spacing w:after="0" w:line="240" w:lineRule="auto"/>
            </w:pPr>
            <w:r/>
            <w:r>
              <w:rPr>
                <w:rFonts w:ascii="Calibri" w:hAnsi="Calibri" w:cs="Calibri" w:eastAsia="Calibri"/>
                <w:b w:val="0"/>
                <w:sz w:val="18"/>
              </w:rPr>
              <w:t>DFL 1 de 2005, MINSAL (arts. 141 y 173)</w:t>
            </w:r>
          </w:p>
        </w:tc>
        <w:tc>
          <w:tcPr>
            <w:tcW w:type="dxa" w:w="6917"/>
            <w:shd w:val="clear" w:color="auto" w:fill="EEF2F7"/>
          </w:tcPr>
          <w:p>
            <w:pPr>
              <w:spacing w:after="0" w:line="240" w:lineRule="auto"/>
            </w:pPr>
            <w:r/>
            <w:r>
              <w:rPr>
                <w:rFonts w:ascii="Calibri" w:hAnsi="Calibri" w:cs="Calibri" w:eastAsia="Calibri"/>
                <w:b w:val="0"/>
                <w:sz w:val="18"/>
              </w:rPr>
              <w:t>LeyChile, idNorma 249177</w:t>
            </w:r>
          </w:p>
        </w:tc>
      </w:tr>
      <w:tr>
        <w:tc>
          <w:tcPr>
            <w:tcW w:type="dxa" w:w="2835"/>
          </w:tcPr>
          <w:p>
            <w:pPr>
              <w:spacing w:after="0" w:line="240" w:lineRule="auto"/>
            </w:pPr>
            <w:r/>
            <w:r>
              <w:rPr>
                <w:rFonts w:ascii="Calibri" w:hAnsi="Calibri" w:cs="Calibri" w:eastAsia="Calibri"/>
                <w:b w:val="0"/>
                <w:sz w:val="18"/>
              </w:rPr>
              <w:t>Ley 19.628</w:t>
            </w:r>
          </w:p>
        </w:tc>
        <w:tc>
          <w:tcPr>
            <w:tcW w:type="dxa" w:w="6917"/>
          </w:tcPr>
          <w:p>
            <w:pPr>
              <w:spacing w:after="0" w:line="240" w:lineRule="auto"/>
            </w:pPr>
            <w:r/>
            <w:r>
              <w:rPr>
                <w:rFonts w:ascii="Calibri" w:hAnsi="Calibri" w:cs="Calibri" w:eastAsia="Calibri"/>
                <w:b w:val="0"/>
                <w:sz w:val="18"/>
              </w:rPr>
              <w:t>LeyChile, idNorma 141599, y copia entregada en el curso</w:t>
            </w:r>
          </w:p>
        </w:tc>
      </w:tr>
      <w:tr>
        <w:tc>
          <w:tcPr>
            <w:tcW w:type="dxa" w:w="2835"/>
            <w:shd w:val="clear" w:color="auto" w:fill="EEF2F7"/>
          </w:tcPr>
          <w:p>
            <w:pPr>
              <w:spacing w:after="0" w:line="240" w:lineRule="auto"/>
            </w:pPr>
            <w:r/>
            <w:r>
              <w:rPr>
                <w:rFonts w:ascii="Calibri" w:hAnsi="Calibri" w:cs="Calibri" w:eastAsia="Calibri"/>
                <w:b w:val="0"/>
                <w:sz w:val="18"/>
              </w:rPr>
              <w:t>Ley 21.719</w:t>
            </w:r>
          </w:p>
        </w:tc>
        <w:tc>
          <w:tcPr>
            <w:tcW w:type="dxa" w:w="6917"/>
            <w:shd w:val="clear" w:color="auto" w:fill="EEF2F7"/>
          </w:tcPr>
          <w:p>
            <w:pPr>
              <w:spacing w:after="0" w:line="240" w:lineRule="auto"/>
            </w:pPr>
            <w:r/>
            <w:r>
              <w:rPr>
                <w:rFonts w:ascii="Calibri" w:hAnsi="Calibri" w:cs="Calibri" w:eastAsia="Calibri"/>
                <w:b w:val="0"/>
                <w:sz w:val="18"/>
              </w:rPr>
              <w:t>Copia de LeyChile entregada en el curso, generada el 03-01-2025, versión con vigencia diferida al 01-12-2026</w:t>
            </w:r>
          </w:p>
        </w:tc>
      </w:tr>
      <w:tr>
        <w:tc>
          <w:tcPr>
            <w:tcW w:type="dxa" w:w="2835"/>
          </w:tcPr>
          <w:p>
            <w:pPr>
              <w:spacing w:after="0" w:line="240" w:lineRule="auto"/>
            </w:pPr>
            <w:r/>
            <w:r>
              <w:rPr>
                <w:rFonts w:ascii="Calibri" w:hAnsi="Calibri" w:cs="Calibri" w:eastAsia="Calibri"/>
                <w:b w:val="0"/>
                <w:sz w:val="18"/>
              </w:rPr>
              <w:t>Ley 21.663</w:t>
            </w:r>
          </w:p>
        </w:tc>
        <w:tc>
          <w:tcPr>
            <w:tcW w:type="dxa" w:w="6917"/>
          </w:tcPr>
          <w:p>
            <w:pPr>
              <w:spacing w:after="0" w:line="240" w:lineRule="auto"/>
            </w:pPr>
            <w:r/>
            <w:r>
              <w:rPr>
                <w:rFonts w:ascii="Calibri" w:hAnsi="Calibri" w:cs="Calibri" w:eastAsia="Calibri"/>
                <w:b w:val="0"/>
                <w:sz w:val="18"/>
              </w:rPr>
              <w:t>LeyChile, idNorma 1202434, y copia entregada en el curso</w:t>
            </w:r>
          </w:p>
        </w:tc>
      </w:tr>
      <w:tr>
        <w:tc>
          <w:tcPr>
            <w:tcW w:type="dxa" w:w="2835"/>
            <w:shd w:val="clear" w:color="auto" w:fill="EEF2F7"/>
          </w:tcPr>
          <w:p>
            <w:pPr>
              <w:spacing w:after="0" w:line="240" w:lineRule="auto"/>
            </w:pPr>
            <w:r/>
            <w:r>
              <w:rPr>
                <w:rFonts w:ascii="Calibri" w:hAnsi="Calibri" w:cs="Calibri" w:eastAsia="Calibri"/>
                <w:b w:val="0"/>
                <w:sz w:val="18"/>
              </w:rPr>
              <w:t>Ley 21.459, Ley 17.336, Decreto 181, Ley 21.180, Manual de Accesibilidad Web</w:t>
            </w:r>
          </w:p>
        </w:tc>
        <w:tc>
          <w:tcPr>
            <w:tcW w:type="dxa" w:w="6917"/>
            <w:shd w:val="clear" w:color="auto" w:fill="EEF2F7"/>
          </w:tcPr>
          <w:p>
            <w:pPr>
              <w:spacing w:after="0" w:line="240" w:lineRule="auto"/>
            </w:pPr>
            <w:r/>
            <w:r>
              <w:rPr>
                <w:rFonts w:ascii="Calibri" w:hAnsi="Calibri" w:cs="Calibri" w:eastAsia="Calibri"/>
                <w:b w:val="0"/>
                <w:sz w:val="18"/>
              </w:rPr>
              <w:t>Copias entregadas en el curso (EV1 Contexto/Normativas)</w:t>
            </w:r>
          </w:p>
        </w:tc>
      </w:tr>
      <w:tr>
        <w:tc>
          <w:tcPr>
            <w:tcW w:type="dxa" w:w="2835"/>
          </w:tcPr>
          <w:p>
            <w:pPr>
              <w:spacing w:after="0" w:line="240" w:lineRule="auto"/>
            </w:pPr>
            <w:r/>
            <w:r>
              <w:rPr>
                <w:rFonts w:ascii="Calibri" w:hAnsi="Calibri" w:cs="Calibri" w:eastAsia="Calibri"/>
                <w:b w:val="0"/>
                <w:sz w:val="18"/>
              </w:rPr>
              <w:t>Requisitos del caso</w:t>
            </w:r>
          </w:p>
        </w:tc>
        <w:tc>
          <w:tcPr>
            <w:tcW w:type="dxa" w:w="6917"/>
          </w:tcPr>
          <w:p>
            <w:pPr>
              <w:spacing w:after="0" w:line="240" w:lineRule="auto"/>
            </w:pPr>
            <w:r/>
            <w:r>
              <w:rPr>
                <w:rFonts w:ascii="Calibri" w:hAnsi="Calibri" w:cs="Calibri" w:eastAsia="Calibri"/>
                <w:b w:val="0"/>
                <w:sz w:val="18"/>
              </w:rPr>
              <w:t>DuocUC. EP1_ISY1102_Estudiante_ERS_B, versión 1.1 (13-04-2026)</w:t>
            </w:r>
          </w:p>
        </w:tc>
      </w:tr>
      <w:tr>
        <w:tc>
          <w:tcPr>
            <w:tcW w:type="dxa" w:w="2835"/>
            <w:shd w:val="clear" w:color="auto" w:fill="EEF2F7"/>
          </w:tcPr>
          <w:p>
            <w:pPr>
              <w:spacing w:after="0" w:line="240" w:lineRule="auto"/>
            </w:pPr>
            <w:r/>
            <w:r>
              <w:rPr>
                <w:rFonts w:ascii="Calibri" w:hAnsi="Calibri" w:cs="Calibri" w:eastAsia="Calibri"/>
                <w:b w:val="0"/>
                <w:sz w:val="18"/>
              </w:rPr>
              <w:t>Código fuente</w:t>
            </w:r>
          </w:p>
        </w:tc>
        <w:tc>
          <w:tcPr>
            <w:tcW w:type="dxa" w:w="6917"/>
            <w:shd w:val="clear" w:color="auto" w:fill="EEF2F7"/>
          </w:tcPr>
          <w:p>
            <w:pPr>
              <w:spacing w:after="0" w:line="240" w:lineRule="auto"/>
            </w:pPr>
            <w:r/>
            <w:r>
              <w:rPr>
                <w:rFonts w:ascii="Calibri" w:hAnsi="Calibri" w:cs="Calibri" w:eastAsia="Calibri"/>
                <w:b w:val="0"/>
                <w:sz w:val="18"/>
              </w:rPr>
              <w:t>Repositorio Barrolas/cuidarte-mas, rama main, commit 7503d1b</w:t>
            </w:r>
          </w:p>
        </w:tc>
      </w:tr>
    </w:tbl>
    <w:p>
      <w:pPr>
        <w:spacing w:after="40"/>
      </w:pP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color w:val="666666"/>
        <w:sz w:val="16"/>
      </w:rPr>
      <w:t>ISY1102 · EP3 · Cuidarte+ (Caso B) · Giannina Guerrero · Sección 001V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