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DDED" w14:textId="77777777" w:rsidR="00161C61" w:rsidRDefault="00000000">
      <w:r>
        <w:rPr>
          <w:rFonts w:ascii="Calibri" w:eastAsia="Calibri" w:hAnsi="Calibri" w:cs="Calibri"/>
          <w:b/>
          <w:bCs/>
          <w:sz w:val="30"/>
          <w:szCs w:val="30"/>
        </w:rPr>
        <w:t>EXPANSION SITE PRIORITIZATION</w:t>
      </w:r>
    </w:p>
    <w:p w14:paraId="61368F7C" w14:textId="77777777" w:rsidR="00161C61" w:rsidRDefault="00000000">
      <w:pPr>
        <w:spacing w:after="160"/>
      </w:pPr>
      <w:r>
        <w:rPr>
          <w:rFonts w:ascii="Calibri" w:eastAsia="Calibri" w:hAnsi="Calibri" w:cs="Calibri"/>
          <w:i/>
          <w:iCs/>
          <w:sz w:val="19"/>
          <w:szCs w:val="19"/>
        </w:rPr>
        <w:t>Sales &amp; Profitability Review to Inform New Subsidiary Location — FY2011–2014</w:t>
      </w:r>
    </w:p>
    <w:p w14:paraId="052B5F58" w14:textId="77777777" w:rsidR="00161C61" w:rsidRDefault="00000000">
      <w:pPr>
        <w:tabs>
          <w:tab w:val="left" w:pos="1100"/>
        </w:tabs>
        <w:spacing w:after="20"/>
      </w:pPr>
      <w:r>
        <w:rPr>
          <w:rFonts w:ascii="Calibri" w:eastAsia="Calibri" w:hAnsi="Calibri" w:cs="Calibri"/>
          <w:b/>
          <w:bCs/>
          <w:sz w:val="19"/>
          <w:szCs w:val="19"/>
        </w:rPr>
        <w:t xml:space="preserve">To: </w:t>
      </w:r>
      <w:r>
        <w:rPr>
          <w:rFonts w:ascii="Calibri" w:eastAsia="Calibri" w:hAnsi="Calibri" w:cs="Calibri"/>
          <w:sz w:val="19"/>
          <w:szCs w:val="19"/>
        </w:rPr>
        <w:t>Sales &amp; Leadership Team</w:t>
      </w:r>
    </w:p>
    <w:p w14:paraId="6BF55788" w14:textId="77777777" w:rsidR="00161C61" w:rsidRDefault="00000000">
      <w:pPr>
        <w:tabs>
          <w:tab w:val="left" w:pos="1100"/>
        </w:tabs>
        <w:spacing w:after="20"/>
      </w:pPr>
      <w:r>
        <w:rPr>
          <w:rFonts w:ascii="Calibri" w:eastAsia="Calibri" w:hAnsi="Calibri" w:cs="Calibri"/>
          <w:b/>
          <w:bCs/>
          <w:sz w:val="19"/>
          <w:szCs w:val="19"/>
        </w:rPr>
        <w:t xml:space="preserve">From: </w:t>
      </w:r>
      <w:proofErr w:type="spellStart"/>
      <w:r>
        <w:rPr>
          <w:rFonts w:ascii="Calibri" w:eastAsia="Calibri" w:hAnsi="Calibri" w:cs="Calibri"/>
          <w:sz w:val="19"/>
          <w:szCs w:val="19"/>
        </w:rPr>
        <w:t>Mubarakatu</w:t>
      </w:r>
      <w:proofErr w:type="spellEnd"/>
      <w:r>
        <w:rPr>
          <w:rFonts w:ascii="Calibri" w:eastAsia="Calibri" w:hAnsi="Calibri" w:cs="Calibri"/>
          <w:sz w:val="19"/>
          <w:szCs w:val="19"/>
        </w:rPr>
        <w:t xml:space="preserve"> A — Data Analyst (Portfolio Project)</w:t>
      </w:r>
    </w:p>
    <w:p w14:paraId="3E2BEED2" w14:textId="77777777" w:rsidR="00161C61" w:rsidRDefault="00000000">
      <w:pPr>
        <w:tabs>
          <w:tab w:val="left" w:pos="1100"/>
        </w:tabs>
        <w:spacing w:after="20"/>
      </w:pPr>
      <w:r>
        <w:rPr>
          <w:rFonts w:ascii="Calibri" w:eastAsia="Calibri" w:hAnsi="Calibri" w:cs="Calibri"/>
          <w:b/>
          <w:bCs/>
          <w:sz w:val="19"/>
          <w:szCs w:val="19"/>
        </w:rPr>
        <w:t xml:space="preserve">Re: </w:t>
      </w:r>
      <w:r>
        <w:rPr>
          <w:rFonts w:ascii="Calibri" w:eastAsia="Calibri" w:hAnsi="Calibri" w:cs="Calibri"/>
          <w:sz w:val="19"/>
          <w:szCs w:val="19"/>
        </w:rPr>
        <w:t>Where to prioritize the new subsidiary, and what to fix before scaling</w:t>
      </w:r>
    </w:p>
    <w:p w14:paraId="3675D637" w14:textId="77777777" w:rsidR="00161C61" w:rsidRDefault="00000000">
      <w:pPr>
        <w:spacing w:before="160" w:after="60"/>
      </w:pPr>
      <w:r>
        <w:rPr>
          <w:rFonts w:ascii="Calibri" w:eastAsia="Calibri" w:hAnsi="Calibri" w:cs="Calibri"/>
          <w:b/>
          <w:bCs/>
          <w:sz w:val="21"/>
          <w:szCs w:val="21"/>
        </w:rPr>
        <w:t>Situation</w:t>
      </w:r>
    </w:p>
    <w:p w14:paraId="61A7D358" w14:textId="77777777" w:rsidR="00161C61" w:rsidRDefault="00000000">
      <w:pPr>
        <w:spacing w:after="100"/>
      </w:pPr>
      <w:r>
        <w:rPr>
          <w:rFonts w:ascii="Calibri" w:eastAsia="Calibri" w:hAnsi="Calibri" w:cs="Calibri"/>
          <w:sz w:val="19"/>
          <w:szCs w:val="19"/>
        </w:rPr>
        <w:t>Leadership is evaluating a rebrand and a new subsidiary and asked for a historical read on where the business is strong, where it is weak, and which markets merit priority for the expansion. The analysis below covers 9,994 order lines (2011–2014) across customer segment, product category, and U.S. geography.</w:t>
      </w:r>
    </w:p>
    <w:p w14:paraId="7E63CF3A" w14:textId="77777777" w:rsidR="00161C61" w:rsidRDefault="00000000">
      <w:pPr>
        <w:spacing w:before="160" w:after="60"/>
      </w:pPr>
      <w:r>
        <w:rPr>
          <w:rFonts w:ascii="Calibri" w:eastAsia="Calibri" w:hAnsi="Calibri" w:cs="Calibri"/>
          <w:b/>
          <w:bCs/>
          <w:sz w:val="21"/>
          <w:szCs w:val="21"/>
        </w:rPr>
        <w:t>Headline Numbers (FY2014, vs. FY2013)</w:t>
      </w:r>
    </w:p>
    <w:tbl>
      <w:tblPr>
        <w:tblStyle w:val="a"/>
        <w:tblW w:w="10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700"/>
        <w:gridCol w:w="1700"/>
        <w:gridCol w:w="1700"/>
        <w:gridCol w:w="1700"/>
        <w:gridCol w:w="1700"/>
      </w:tblGrid>
      <w:tr w:rsidR="00161C61" w14:paraId="1509CE2B" w14:textId="77777777">
        <w:tc>
          <w:tcPr>
            <w:tcW w:w="1700" w:type="dxa"/>
            <w:shd w:val="clear" w:color="auto" w:fill="000000"/>
            <w:tcMar>
              <w:top w:w="60" w:type="dxa"/>
              <w:left w:w="80" w:type="dxa"/>
              <w:bottom w:w="60" w:type="dxa"/>
              <w:right w:w="80" w:type="dxa"/>
            </w:tcMar>
          </w:tcPr>
          <w:p w14:paraId="5611D25D" w14:textId="77777777" w:rsidR="00161C61" w:rsidRDefault="00000000">
            <w:pPr>
              <w:jc w:val="center"/>
              <w:rPr>
                <w:color w:val="FFFFFF"/>
              </w:rPr>
            </w:pPr>
            <w:r>
              <w:rPr>
                <w:rFonts w:ascii="Calibri" w:eastAsia="Calibri" w:hAnsi="Calibri" w:cs="Calibri"/>
                <w:b/>
                <w:bCs/>
                <w:color w:val="FFFFFF"/>
                <w:sz w:val="16"/>
                <w:szCs w:val="16"/>
              </w:rPr>
              <w:t>Revenue</w:t>
            </w:r>
          </w:p>
        </w:tc>
        <w:tc>
          <w:tcPr>
            <w:tcW w:w="1700" w:type="dxa"/>
            <w:shd w:val="clear" w:color="auto" w:fill="000000"/>
            <w:tcMar>
              <w:top w:w="60" w:type="dxa"/>
              <w:left w:w="80" w:type="dxa"/>
              <w:bottom w:w="60" w:type="dxa"/>
              <w:right w:w="80" w:type="dxa"/>
            </w:tcMar>
          </w:tcPr>
          <w:p w14:paraId="04C02204" w14:textId="77777777" w:rsidR="00161C61" w:rsidRDefault="00000000">
            <w:pPr>
              <w:jc w:val="center"/>
              <w:rPr>
                <w:color w:val="FFFFFF"/>
              </w:rPr>
            </w:pPr>
            <w:r>
              <w:rPr>
                <w:rFonts w:ascii="Calibri" w:eastAsia="Calibri" w:hAnsi="Calibri" w:cs="Calibri"/>
                <w:b/>
                <w:bCs/>
                <w:color w:val="FFFFFF"/>
                <w:sz w:val="16"/>
                <w:szCs w:val="16"/>
              </w:rPr>
              <w:t>Profit</w:t>
            </w:r>
          </w:p>
        </w:tc>
        <w:tc>
          <w:tcPr>
            <w:tcW w:w="1700" w:type="dxa"/>
            <w:shd w:val="clear" w:color="auto" w:fill="000000"/>
            <w:tcMar>
              <w:top w:w="60" w:type="dxa"/>
              <w:left w:w="80" w:type="dxa"/>
              <w:bottom w:w="60" w:type="dxa"/>
              <w:right w:w="80" w:type="dxa"/>
            </w:tcMar>
          </w:tcPr>
          <w:p w14:paraId="59E599F7" w14:textId="77777777" w:rsidR="00161C61" w:rsidRDefault="00000000">
            <w:pPr>
              <w:jc w:val="center"/>
              <w:rPr>
                <w:color w:val="FFFFFF"/>
              </w:rPr>
            </w:pPr>
            <w:r>
              <w:rPr>
                <w:rFonts w:ascii="Calibri" w:eastAsia="Calibri" w:hAnsi="Calibri" w:cs="Calibri"/>
                <w:b/>
                <w:bCs/>
                <w:color w:val="FFFFFF"/>
                <w:sz w:val="16"/>
                <w:szCs w:val="16"/>
              </w:rPr>
              <w:t>Orders</w:t>
            </w:r>
          </w:p>
        </w:tc>
        <w:tc>
          <w:tcPr>
            <w:tcW w:w="1700" w:type="dxa"/>
            <w:shd w:val="clear" w:color="auto" w:fill="000000"/>
            <w:tcMar>
              <w:top w:w="60" w:type="dxa"/>
              <w:left w:w="80" w:type="dxa"/>
              <w:bottom w:w="60" w:type="dxa"/>
              <w:right w:w="80" w:type="dxa"/>
            </w:tcMar>
          </w:tcPr>
          <w:p w14:paraId="58508081" w14:textId="77777777" w:rsidR="00161C61" w:rsidRDefault="00000000">
            <w:pPr>
              <w:jc w:val="center"/>
              <w:rPr>
                <w:color w:val="FFFFFF"/>
              </w:rPr>
            </w:pPr>
            <w:r>
              <w:rPr>
                <w:rFonts w:ascii="Calibri" w:eastAsia="Calibri" w:hAnsi="Calibri" w:cs="Calibri"/>
                <w:b/>
                <w:bCs/>
                <w:color w:val="FFFFFF"/>
                <w:sz w:val="16"/>
                <w:szCs w:val="16"/>
              </w:rPr>
              <w:t>Units Sold</w:t>
            </w:r>
          </w:p>
        </w:tc>
        <w:tc>
          <w:tcPr>
            <w:tcW w:w="1700" w:type="dxa"/>
            <w:shd w:val="clear" w:color="auto" w:fill="000000"/>
            <w:tcMar>
              <w:top w:w="60" w:type="dxa"/>
              <w:left w:w="80" w:type="dxa"/>
              <w:bottom w:w="60" w:type="dxa"/>
              <w:right w:w="80" w:type="dxa"/>
            </w:tcMar>
          </w:tcPr>
          <w:p w14:paraId="235EC4A9" w14:textId="77777777" w:rsidR="00161C61" w:rsidRDefault="00000000">
            <w:pPr>
              <w:jc w:val="center"/>
              <w:rPr>
                <w:color w:val="FFFFFF"/>
              </w:rPr>
            </w:pPr>
            <w:r>
              <w:rPr>
                <w:rFonts w:ascii="Calibri" w:eastAsia="Calibri" w:hAnsi="Calibri" w:cs="Calibri"/>
                <w:b/>
                <w:bCs/>
                <w:color w:val="FFFFFF"/>
                <w:sz w:val="16"/>
                <w:szCs w:val="16"/>
              </w:rPr>
              <w:t>Avg. Discount</w:t>
            </w:r>
          </w:p>
        </w:tc>
        <w:tc>
          <w:tcPr>
            <w:tcW w:w="1700" w:type="dxa"/>
            <w:shd w:val="clear" w:color="auto" w:fill="000000"/>
            <w:tcMar>
              <w:top w:w="60" w:type="dxa"/>
              <w:left w:w="80" w:type="dxa"/>
              <w:bottom w:w="60" w:type="dxa"/>
              <w:right w:w="80" w:type="dxa"/>
            </w:tcMar>
          </w:tcPr>
          <w:p w14:paraId="05AB3B2D" w14:textId="77777777" w:rsidR="00161C61" w:rsidRDefault="00000000">
            <w:pPr>
              <w:jc w:val="center"/>
              <w:rPr>
                <w:color w:val="FFFFFF"/>
              </w:rPr>
            </w:pPr>
            <w:r>
              <w:rPr>
                <w:rFonts w:ascii="Calibri" w:eastAsia="Calibri" w:hAnsi="Calibri" w:cs="Calibri"/>
                <w:b/>
                <w:bCs/>
                <w:color w:val="FFFFFF"/>
                <w:sz w:val="16"/>
                <w:szCs w:val="16"/>
              </w:rPr>
              <w:t>Profit Margin</w:t>
            </w:r>
          </w:p>
        </w:tc>
      </w:tr>
      <w:tr w:rsidR="00161C61" w14:paraId="2EEE5DA5" w14:textId="77777777">
        <w:tc>
          <w:tcPr>
            <w:tcW w:w="1700" w:type="dxa"/>
            <w:tcMar>
              <w:top w:w="60" w:type="dxa"/>
              <w:left w:w="80" w:type="dxa"/>
              <w:bottom w:w="60" w:type="dxa"/>
              <w:right w:w="80" w:type="dxa"/>
            </w:tcMar>
          </w:tcPr>
          <w:p w14:paraId="34371087" w14:textId="77777777" w:rsidR="00161C61" w:rsidRDefault="00000000">
            <w:pPr>
              <w:jc w:val="center"/>
            </w:pPr>
            <w:r>
              <w:rPr>
                <w:rFonts w:ascii="Calibri" w:eastAsia="Calibri" w:hAnsi="Calibri" w:cs="Calibri"/>
                <w:b/>
                <w:bCs/>
                <w:sz w:val="18"/>
                <w:szCs w:val="18"/>
              </w:rPr>
              <w:t>$733,947</w:t>
            </w:r>
          </w:p>
        </w:tc>
        <w:tc>
          <w:tcPr>
            <w:tcW w:w="1700" w:type="dxa"/>
            <w:tcMar>
              <w:top w:w="60" w:type="dxa"/>
              <w:left w:w="80" w:type="dxa"/>
              <w:bottom w:w="60" w:type="dxa"/>
              <w:right w:w="80" w:type="dxa"/>
            </w:tcMar>
          </w:tcPr>
          <w:p w14:paraId="3F81DAC4" w14:textId="77777777" w:rsidR="00161C61" w:rsidRDefault="00000000">
            <w:pPr>
              <w:jc w:val="center"/>
            </w:pPr>
            <w:r>
              <w:rPr>
                <w:rFonts w:ascii="Calibri" w:eastAsia="Calibri" w:hAnsi="Calibri" w:cs="Calibri"/>
                <w:b/>
                <w:bCs/>
                <w:sz w:val="18"/>
                <w:szCs w:val="18"/>
              </w:rPr>
              <w:t>$93,508</w:t>
            </w:r>
          </w:p>
        </w:tc>
        <w:tc>
          <w:tcPr>
            <w:tcW w:w="1700" w:type="dxa"/>
            <w:tcMar>
              <w:top w:w="60" w:type="dxa"/>
              <w:left w:w="80" w:type="dxa"/>
              <w:bottom w:w="60" w:type="dxa"/>
              <w:right w:w="80" w:type="dxa"/>
            </w:tcMar>
          </w:tcPr>
          <w:p w14:paraId="73B2753B" w14:textId="77777777" w:rsidR="00161C61" w:rsidRDefault="00000000">
            <w:pPr>
              <w:jc w:val="center"/>
            </w:pPr>
            <w:r>
              <w:rPr>
                <w:rFonts w:ascii="Calibri" w:eastAsia="Calibri" w:hAnsi="Calibri" w:cs="Calibri"/>
                <w:b/>
                <w:bCs/>
                <w:sz w:val="18"/>
                <w:szCs w:val="18"/>
              </w:rPr>
              <w:t>1,692</w:t>
            </w:r>
          </w:p>
        </w:tc>
        <w:tc>
          <w:tcPr>
            <w:tcW w:w="1700" w:type="dxa"/>
            <w:tcMar>
              <w:top w:w="60" w:type="dxa"/>
              <w:left w:w="80" w:type="dxa"/>
              <w:bottom w:w="60" w:type="dxa"/>
              <w:right w:w="80" w:type="dxa"/>
            </w:tcMar>
          </w:tcPr>
          <w:p w14:paraId="20484515" w14:textId="77777777" w:rsidR="00161C61" w:rsidRDefault="00000000">
            <w:pPr>
              <w:jc w:val="center"/>
            </w:pPr>
            <w:r>
              <w:rPr>
                <w:rFonts w:ascii="Calibri" w:eastAsia="Calibri" w:hAnsi="Calibri" w:cs="Calibri"/>
                <w:b/>
                <w:bCs/>
                <w:sz w:val="18"/>
                <w:szCs w:val="18"/>
              </w:rPr>
              <w:t>12,503</w:t>
            </w:r>
          </w:p>
        </w:tc>
        <w:tc>
          <w:tcPr>
            <w:tcW w:w="1700" w:type="dxa"/>
            <w:tcMar>
              <w:top w:w="60" w:type="dxa"/>
              <w:left w:w="80" w:type="dxa"/>
              <w:bottom w:w="60" w:type="dxa"/>
              <w:right w:w="80" w:type="dxa"/>
            </w:tcMar>
          </w:tcPr>
          <w:p w14:paraId="0F8EF8CB" w14:textId="77777777" w:rsidR="00161C61" w:rsidRDefault="00000000">
            <w:pPr>
              <w:jc w:val="center"/>
            </w:pPr>
            <w:r>
              <w:rPr>
                <w:rFonts w:ascii="Calibri" w:eastAsia="Calibri" w:hAnsi="Calibri" w:cs="Calibri"/>
                <w:b/>
                <w:bCs/>
                <w:sz w:val="18"/>
                <w:szCs w:val="18"/>
              </w:rPr>
              <w:t>16.0%</w:t>
            </w:r>
          </w:p>
        </w:tc>
        <w:tc>
          <w:tcPr>
            <w:tcW w:w="1700" w:type="dxa"/>
            <w:tcMar>
              <w:top w:w="60" w:type="dxa"/>
              <w:left w:w="80" w:type="dxa"/>
              <w:bottom w:w="60" w:type="dxa"/>
              <w:right w:w="80" w:type="dxa"/>
            </w:tcMar>
          </w:tcPr>
          <w:p w14:paraId="7AEB4621" w14:textId="77777777" w:rsidR="00161C61" w:rsidRDefault="00000000">
            <w:pPr>
              <w:jc w:val="center"/>
            </w:pPr>
            <w:r>
              <w:rPr>
                <w:rFonts w:ascii="Calibri" w:eastAsia="Calibri" w:hAnsi="Calibri" w:cs="Calibri"/>
                <w:b/>
                <w:bCs/>
                <w:sz w:val="18"/>
                <w:szCs w:val="18"/>
              </w:rPr>
              <w:t>12.7%</w:t>
            </w:r>
          </w:p>
        </w:tc>
      </w:tr>
      <w:tr w:rsidR="00161C61" w14:paraId="37ACF932" w14:textId="77777777">
        <w:tc>
          <w:tcPr>
            <w:tcW w:w="1700" w:type="dxa"/>
            <w:tcMar>
              <w:top w:w="60" w:type="dxa"/>
              <w:left w:w="80" w:type="dxa"/>
              <w:bottom w:w="60" w:type="dxa"/>
              <w:right w:w="80" w:type="dxa"/>
            </w:tcMar>
          </w:tcPr>
          <w:p w14:paraId="098B4DF3" w14:textId="77777777" w:rsidR="00161C61" w:rsidRDefault="00000000">
            <w:pPr>
              <w:jc w:val="center"/>
            </w:pPr>
            <w:r>
              <w:rPr>
                <w:rFonts w:ascii="Calibri" w:eastAsia="Calibri" w:hAnsi="Calibri" w:cs="Calibri"/>
                <w:sz w:val="18"/>
                <w:szCs w:val="18"/>
              </w:rPr>
              <w:t>+20.6% YoY</w:t>
            </w:r>
          </w:p>
        </w:tc>
        <w:tc>
          <w:tcPr>
            <w:tcW w:w="1700" w:type="dxa"/>
            <w:tcMar>
              <w:top w:w="60" w:type="dxa"/>
              <w:left w:w="80" w:type="dxa"/>
              <w:bottom w:w="60" w:type="dxa"/>
              <w:right w:w="80" w:type="dxa"/>
            </w:tcMar>
          </w:tcPr>
          <w:p w14:paraId="403A0FEF" w14:textId="77777777" w:rsidR="00161C61" w:rsidRDefault="00000000">
            <w:pPr>
              <w:jc w:val="center"/>
            </w:pPr>
            <w:r>
              <w:rPr>
                <w:rFonts w:ascii="Calibri" w:eastAsia="Calibri" w:hAnsi="Calibri" w:cs="Calibri"/>
                <w:sz w:val="18"/>
                <w:szCs w:val="18"/>
              </w:rPr>
              <w:t>+14.4% YoY</w:t>
            </w:r>
          </w:p>
        </w:tc>
        <w:tc>
          <w:tcPr>
            <w:tcW w:w="1700" w:type="dxa"/>
            <w:tcMar>
              <w:top w:w="60" w:type="dxa"/>
              <w:left w:w="80" w:type="dxa"/>
              <w:bottom w:w="60" w:type="dxa"/>
              <w:right w:w="80" w:type="dxa"/>
            </w:tcMar>
          </w:tcPr>
          <w:p w14:paraId="0E82278F" w14:textId="77777777" w:rsidR="00161C61" w:rsidRDefault="00000000">
            <w:pPr>
              <w:jc w:val="center"/>
            </w:pPr>
            <w:r>
              <w:rPr>
                <w:rFonts w:ascii="Calibri" w:eastAsia="Calibri" w:hAnsi="Calibri" w:cs="Calibri"/>
                <w:sz w:val="18"/>
                <w:szCs w:val="18"/>
              </w:rPr>
              <w:t>+29.2% YoY</w:t>
            </w:r>
          </w:p>
        </w:tc>
        <w:tc>
          <w:tcPr>
            <w:tcW w:w="1700" w:type="dxa"/>
            <w:tcMar>
              <w:top w:w="60" w:type="dxa"/>
              <w:left w:w="80" w:type="dxa"/>
              <w:bottom w:w="60" w:type="dxa"/>
              <w:right w:w="80" w:type="dxa"/>
            </w:tcMar>
          </w:tcPr>
          <w:p w14:paraId="3234435C" w14:textId="77777777" w:rsidR="00161C61" w:rsidRDefault="00000000">
            <w:pPr>
              <w:jc w:val="center"/>
            </w:pPr>
            <w:r>
              <w:rPr>
                <w:rFonts w:ascii="Calibri" w:eastAsia="Calibri" w:hAnsi="Calibri" w:cs="Calibri"/>
                <w:sz w:val="18"/>
                <w:szCs w:val="18"/>
              </w:rPr>
              <w:t>+27.5% YoY</w:t>
            </w:r>
          </w:p>
        </w:tc>
        <w:tc>
          <w:tcPr>
            <w:tcW w:w="1700" w:type="dxa"/>
            <w:tcMar>
              <w:top w:w="60" w:type="dxa"/>
              <w:left w:w="80" w:type="dxa"/>
              <w:bottom w:w="60" w:type="dxa"/>
              <w:right w:w="80" w:type="dxa"/>
            </w:tcMar>
          </w:tcPr>
          <w:p w14:paraId="1A08F2EC" w14:textId="77777777" w:rsidR="00161C61" w:rsidRDefault="00000000">
            <w:pPr>
              <w:jc w:val="center"/>
            </w:pPr>
            <w:r>
              <w:rPr>
                <w:rFonts w:ascii="Calibri" w:eastAsia="Calibri" w:hAnsi="Calibri" w:cs="Calibri"/>
                <w:sz w:val="18"/>
                <w:szCs w:val="18"/>
              </w:rPr>
              <w:t>+1.0 pt YoY</w:t>
            </w:r>
          </w:p>
        </w:tc>
        <w:tc>
          <w:tcPr>
            <w:tcW w:w="1700" w:type="dxa"/>
            <w:tcMar>
              <w:top w:w="60" w:type="dxa"/>
              <w:left w:w="80" w:type="dxa"/>
              <w:bottom w:w="60" w:type="dxa"/>
              <w:right w:w="80" w:type="dxa"/>
            </w:tcMar>
          </w:tcPr>
          <w:p w14:paraId="645BFAAF" w14:textId="77777777" w:rsidR="00161C61" w:rsidRDefault="00000000">
            <w:pPr>
              <w:jc w:val="center"/>
            </w:pPr>
            <w:r>
              <w:rPr>
                <w:rFonts w:ascii="Calibri" w:eastAsia="Calibri" w:hAnsi="Calibri" w:cs="Calibri"/>
                <w:sz w:val="18"/>
                <w:szCs w:val="18"/>
              </w:rPr>
              <w:t>-0.7 pt YoY</w:t>
            </w:r>
          </w:p>
        </w:tc>
      </w:tr>
    </w:tbl>
    <w:p w14:paraId="01E0C30B" w14:textId="77777777" w:rsidR="00161C61" w:rsidRDefault="00000000">
      <w:pPr>
        <w:spacing w:before="160" w:after="60"/>
      </w:pPr>
      <w:r>
        <w:rPr>
          <w:rFonts w:ascii="Calibri" w:eastAsia="Calibri" w:hAnsi="Calibri" w:cs="Calibri"/>
          <w:b/>
          <w:bCs/>
          <w:sz w:val="21"/>
          <w:szCs w:val="21"/>
        </w:rPr>
        <w:t>What the Data Shows</w:t>
      </w:r>
    </w:p>
    <w:p w14:paraId="26A7223D" w14:textId="77777777" w:rsidR="00161C61" w:rsidRDefault="00000000">
      <w:pPr>
        <w:numPr>
          <w:ilvl w:val="0"/>
          <w:numId w:val="1"/>
        </w:numPr>
        <w:pBdr>
          <w:top w:val="nil"/>
          <w:left w:val="nil"/>
          <w:bottom w:val="nil"/>
          <w:right w:val="nil"/>
          <w:between w:val="nil"/>
        </w:pBdr>
        <w:spacing w:after="40"/>
      </w:pPr>
      <w:r>
        <w:rPr>
          <w:rFonts w:ascii="Calibri" w:eastAsia="Calibri" w:hAnsi="Calibri" w:cs="Calibri"/>
          <w:sz w:val="19"/>
          <w:szCs w:val="19"/>
        </w:rPr>
        <w:t>Growth is outrunning profit. Revenue grew 20.6% year over year, but profit grew only 14.4%, and margin slipped from 13.4% to 12.7% as the average discount ticked up from 15% to 16%. Top-line growth alone does not confirm a sustainable growth path.</w:t>
      </w:r>
    </w:p>
    <w:p w14:paraId="74D93C33" w14:textId="77777777" w:rsidR="00161C61" w:rsidRDefault="00000000">
      <w:pPr>
        <w:numPr>
          <w:ilvl w:val="0"/>
          <w:numId w:val="1"/>
        </w:numPr>
        <w:pBdr>
          <w:top w:val="nil"/>
          <w:left w:val="nil"/>
          <w:bottom w:val="nil"/>
          <w:right w:val="nil"/>
          <w:between w:val="nil"/>
        </w:pBdr>
        <w:spacing w:after="40"/>
      </w:pPr>
      <w:r>
        <w:rPr>
          <w:rFonts w:ascii="Calibri" w:eastAsia="Calibri" w:hAnsi="Calibri" w:cs="Calibri"/>
          <w:sz w:val="19"/>
          <w:szCs w:val="19"/>
        </w:rPr>
        <w:t>Furniture is a profitability trap. It drives 32.3% of all revenue but returns just a 2.5% margin (vs. 17.4% for Technology and 17.0% for Office Supplies). Tables and Bookcases, carrying 21–26% average discounts, are net loss-making sub-categories company-wide.</w:t>
      </w:r>
    </w:p>
    <w:p w14:paraId="4CE770A7" w14:textId="77777777" w:rsidR="00161C61" w:rsidRDefault="00000000">
      <w:pPr>
        <w:numPr>
          <w:ilvl w:val="0"/>
          <w:numId w:val="1"/>
        </w:numPr>
        <w:pBdr>
          <w:top w:val="nil"/>
          <w:left w:val="nil"/>
          <w:bottom w:val="nil"/>
          <w:right w:val="nil"/>
          <w:between w:val="nil"/>
        </w:pBdr>
        <w:spacing w:after="40"/>
      </w:pPr>
      <w:r>
        <w:rPr>
          <w:rFonts w:ascii="Calibri" w:eastAsia="Calibri" w:hAnsi="Calibri" w:cs="Calibri"/>
          <w:sz w:val="19"/>
          <w:szCs w:val="19"/>
        </w:rPr>
        <w:t>Discounting is the mechanism, not demand. Discount and profit margin are strongly negatively correlated (r = –0.86). Average margin turns negative once a line item's discount exceeds ~20%, and falls sharply beyond 30%.</w:t>
      </w:r>
    </w:p>
    <w:p w14:paraId="65D9A7E2" w14:textId="29FBD67C" w:rsidR="00161C61" w:rsidRDefault="00000000">
      <w:pPr>
        <w:numPr>
          <w:ilvl w:val="0"/>
          <w:numId w:val="1"/>
        </w:numPr>
        <w:pBdr>
          <w:top w:val="nil"/>
          <w:left w:val="nil"/>
          <w:bottom w:val="nil"/>
          <w:right w:val="nil"/>
          <w:between w:val="nil"/>
        </w:pBdr>
        <w:spacing w:after="40"/>
      </w:pPr>
      <w:r>
        <w:rPr>
          <w:rFonts w:ascii="Calibri" w:eastAsia="Calibri" w:hAnsi="Calibri" w:cs="Calibri"/>
          <w:sz w:val="19"/>
          <w:szCs w:val="19"/>
        </w:rPr>
        <w:t>Revenue size is misleading without profitability. California and New York are both high-revenue and high-margin (16.7% and 23.8% respectively), the strongest expansion signal in the data. Texas, Ohio, Pennsylvania, and Illinois generate comparable or greater revenue but are net loss-making, driven by 32–39% average discounts; they look attractive on revenue alone but are not, today, profitable markets.</w:t>
      </w:r>
    </w:p>
    <w:p w14:paraId="6A0A748C" w14:textId="77777777" w:rsidR="00161C61" w:rsidRDefault="00000000">
      <w:pPr>
        <w:numPr>
          <w:ilvl w:val="0"/>
          <w:numId w:val="1"/>
        </w:numPr>
        <w:pBdr>
          <w:top w:val="nil"/>
          <w:left w:val="nil"/>
          <w:bottom w:val="nil"/>
          <w:right w:val="nil"/>
          <w:between w:val="nil"/>
        </w:pBdr>
        <w:spacing w:after="40"/>
      </w:pPr>
      <w:r>
        <w:rPr>
          <w:rFonts w:ascii="Calibri" w:eastAsia="Calibri" w:hAnsi="Calibri" w:cs="Calibri"/>
          <w:sz w:val="19"/>
          <w:szCs w:val="19"/>
        </w:rPr>
        <w:t>Segment mix will not differentiate a location. Consumer/Corporate/Home Office split is nearly identical (~50% / 31% / 19%) in every region, so customer-segment mix is not a useful screen for where to expand; regional and state-level profitability is.</w:t>
      </w:r>
    </w:p>
    <w:p w14:paraId="2E260AD5" w14:textId="77777777" w:rsidR="00161C61" w:rsidRDefault="00000000">
      <w:pPr>
        <w:spacing w:before="160" w:after="60"/>
      </w:pPr>
      <w:r>
        <w:rPr>
          <w:rFonts w:ascii="Calibri" w:eastAsia="Calibri" w:hAnsi="Calibri" w:cs="Calibri"/>
          <w:b/>
          <w:bCs/>
          <w:sz w:val="21"/>
          <w:szCs w:val="21"/>
        </w:rPr>
        <w:t>Recommendation</w:t>
      </w:r>
    </w:p>
    <w:p w14:paraId="047A5D68" w14:textId="77777777" w:rsidR="00161C61" w:rsidRDefault="00000000">
      <w:pPr>
        <w:numPr>
          <w:ilvl w:val="0"/>
          <w:numId w:val="1"/>
        </w:numPr>
        <w:pBdr>
          <w:top w:val="nil"/>
          <w:left w:val="nil"/>
          <w:bottom w:val="nil"/>
          <w:right w:val="nil"/>
          <w:between w:val="nil"/>
        </w:pBdr>
        <w:spacing w:after="40"/>
      </w:pPr>
      <w:r>
        <w:rPr>
          <w:rFonts w:ascii="Calibri" w:eastAsia="Calibri" w:hAnsi="Calibri" w:cs="Calibri"/>
          <w:sz w:val="19"/>
          <w:szCs w:val="19"/>
        </w:rPr>
        <w:t xml:space="preserve">Prioritize the new subsidiary in markets with the California/New York/West–East profile, which have proven revenue </w:t>
      </w:r>
      <w:r>
        <w:rPr>
          <w:rFonts w:ascii="Calibri" w:eastAsia="Calibri" w:hAnsi="Calibri" w:cs="Calibri"/>
          <w:i/>
          <w:iCs/>
          <w:sz w:val="19"/>
          <w:szCs w:val="19"/>
        </w:rPr>
        <w:t>and</w:t>
      </w:r>
      <w:r>
        <w:rPr>
          <w:rFonts w:ascii="Calibri" w:eastAsia="Calibri" w:hAnsi="Calibri" w:cs="Calibri"/>
          <w:sz w:val="19"/>
          <w:szCs w:val="19"/>
        </w:rPr>
        <w:t xml:space="preserve"> margin strength, over markets chosen on revenue size alone.</w:t>
      </w:r>
    </w:p>
    <w:p w14:paraId="655E11F5" w14:textId="77777777" w:rsidR="00161C61" w:rsidRDefault="00000000">
      <w:pPr>
        <w:numPr>
          <w:ilvl w:val="0"/>
          <w:numId w:val="1"/>
        </w:numPr>
        <w:pBdr>
          <w:top w:val="nil"/>
          <w:left w:val="nil"/>
          <w:bottom w:val="nil"/>
          <w:right w:val="nil"/>
          <w:between w:val="nil"/>
        </w:pBdr>
        <w:spacing w:after="40"/>
      </w:pPr>
      <w:r>
        <w:rPr>
          <w:rFonts w:ascii="Calibri" w:eastAsia="Calibri" w:hAnsi="Calibri" w:cs="Calibri"/>
          <w:sz w:val="19"/>
          <w:szCs w:val="19"/>
        </w:rPr>
        <w:t>Hold off on Texas-, Ohio-, Pennsylvania-, and Illinois-type markets until discount practices are corrected there; under current terms they would import a loss-making cost structure into the new subsidiary.</w:t>
      </w:r>
    </w:p>
    <w:p w14:paraId="64E3C02A" w14:textId="77777777" w:rsidR="00161C61" w:rsidRDefault="00000000">
      <w:pPr>
        <w:numPr>
          <w:ilvl w:val="0"/>
          <w:numId w:val="1"/>
        </w:numPr>
        <w:pBdr>
          <w:top w:val="nil"/>
          <w:left w:val="nil"/>
          <w:bottom w:val="nil"/>
          <w:right w:val="nil"/>
          <w:between w:val="nil"/>
        </w:pBdr>
        <w:spacing w:after="40"/>
      </w:pPr>
      <w:r>
        <w:rPr>
          <w:rFonts w:ascii="Calibri" w:eastAsia="Calibri" w:hAnsi="Calibri" w:cs="Calibri"/>
          <w:sz w:val="19"/>
          <w:szCs w:val="19"/>
        </w:rPr>
        <w:t>Cap discounting on Tables and Bookcases (and revisit Furniture pricing broadly) before replicating the current product mix in a new location; the discount-margin relationship suggests a ceiling near 15–20% would return most of this category to profitability.</w:t>
      </w:r>
    </w:p>
    <w:p w14:paraId="104FF522" w14:textId="77777777" w:rsidR="00161C61" w:rsidRDefault="00000000">
      <w:pPr>
        <w:pBdr>
          <w:top w:val="single" w:sz="4" w:space="4" w:color="BFBFBF"/>
        </w:pBdr>
        <w:spacing w:before="200"/>
      </w:pPr>
      <w:r>
        <w:rPr>
          <w:rFonts w:ascii="Calibri" w:eastAsia="Calibri" w:hAnsi="Calibri" w:cs="Calibri"/>
          <w:i/>
          <w:iCs/>
          <w:sz w:val="15"/>
          <w:szCs w:val="15"/>
        </w:rPr>
        <w:t>Data source: Sample – Superstore dataset (originally distributed with Tableau; publicly available via Kaggle and the Tableau Community). Used here as a synthetic dataset for independent portfolio analysis; all figures above are calculated directly from the raw order-level data, not reused from any third-party tutorial.</w:t>
      </w:r>
    </w:p>
    <w:sectPr w:rsidR="00161C61">
      <w:pgSz w:w="12240" w:h="15840"/>
      <w:pgMar w:top="700" w:right="900" w:bottom="700" w:left="9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F0D845B-845F-48D4-AB5B-56707487812E}"/>
  </w:font>
  <w:font w:name="Calibri">
    <w:panose1 w:val="020F0502020204030204"/>
    <w:charset w:val="00"/>
    <w:family w:val="swiss"/>
    <w:pitch w:val="variable"/>
    <w:sig w:usb0="E4002EFF" w:usb1="C000247B" w:usb2="00000009" w:usb3="00000000" w:csb0="000001FF" w:csb1="00000000"/>
    <w:embedRegular r:id="rId2" w:fontKey="{1C09F1E2-2E69-46DD-A6A9-C0CB2DD8F593}"/>
    <w:embedBold r:id="rId3" w:fontKey="{CF7D3A3F-DB8A-4420-9395-3BD28243A9F1}"/>
    <w:embedItalic r:id="rId4" w:fontKey="{BCFDB6B8-08F3-496D-9F37-C63D833135B5}"/>
  </w:font>
  <w:font w:name="Cambria">
    <w:panose1 w:val="02040503050406030204"/>
    <w:charset w:val="00"/>
    <w:family w:val="roman"/>
    <w:pitch w:val="variable"/>
    <w:sig w:usb0="E00006FF" w:usb1="420024FF" w:usb2="02000000" w:usb3="00000000" w:csb0="0000019F" w:csb1="00000000"/>
    <w:embedRegular r:id="rId5" w:fontKey="{0735D893-A5E2-4A9E-8DF0-2495CC2E2C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379BF"/>
    <w:multiLevelType w:val="multilevel"/>
    <w:tmpl w:val="ED16E24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744063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C61"/>
    <w:rsid w:val="00161C61"/>
    <w:rsid w:val="00BF35E0"/>
    <w:rsid w:val="00DF5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F7013"/>
  <w15:docId w15:val="{D535190E-F6CF-4847-88F6-2AD8BD87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Mubarakah Adebayo</cp:lastModifiedBy>
  <cp:revision>2</cp:revision>
  <dcterms:created xsi:type="dcterms:W3CDTF">2026-08-29T15:53:00Z</dcterms:created>
  <dcterms:modified xsi:type="dcterms:W3CDTF">2026-08-29T15:55:00Z</dcterms:modified>
</cp:coreProperties>
</file>