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FD46" w14:textId="77777777" w:rsidR="000C2A17" w:rsidRDefault="00000000">
      <w:pPr>
        <w:pStyle w:val="Heading1"/>
      </w:pPr>
      <w:bookmarkStart w:id="0" w:name="_jjxi15s9zby5" w:colFirst="0" w:colLast="0"/>
      <w:bookmarkEnd w:id="0"/>
      <w:r>
        <w:t>Retail Expansion Readiness Dashboard</w:t>
      </w:r>
    </w:p>
    <w:p w14:paraId="616A3CBF" w14:textId="77777777" w:rsidR="000C2A17" w:rsidRDefault="00000000">
      <w:r>
        <w:t>An interactive Excel dashboard and business case analyzing four years of retail sales data to recommend where a company should prioritize a new subsidiary or branch expansion.</w:t>
      </w:r>
    </w:p>
    <w:p w14:paraId="43A94ED1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418330" w14:textId="2971ABE2" w:rsidR="000C2A17" w:rsidRDefault="00C44D03">
      <w:r>
        <w:rPr>
          <w:noProof/>
        </w:rPr>
        <w:drawing>
          <wp:inline distT="0" distB="0" distL="0" distR="0" wp14:anchorId="3B3373B8" wp14:editId="45CB75C4">
            <wp:extent cx="5943600" cy="3531235"/>
            <wp:effectExtent l="0" t="0" r="0" b="0"/>
            <wp:docPr id="54482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AB6B" w14:textId="77777777" w:rsidR="000C2A17" w:rsidRDefault="00000000">
      <w:pPr>
        <w:pStyle w:val="Heading2"/>
      </w:pPr>
      <w:bookmarkStart w:id="1" w:name="_lawrn3nkyuh8" w:colFirst="0" w:colLast="0"/>
      <w:bookmarkEnd w:id="1"/>
      <w:r>
        <w:t>Business Brief</w:t>
      </w:r>
    </w:p>
    <w:p w14:paraId="5386FFB0" w14:textId="77777777" w:rsidR="000C2A17" w:rsidRDefault="00000000">
      <w:r>
        <w:rPr>
          <w:b/>
          <w:bCs/>
        </w:rPr>
        <w:t>Scenario:</w:t>
      </w:r>
      <w:r>
        <w:t xml:space="preserve"> A retail superstore is planning a rebrand and the launch of a new subsidiary. Before committing resources, leadership asked for a clean, interactive one-page executive summary to evaluate historical sales patterns and identify the company's strongest markets, segments, and product lines.</w:t>
      </w:r>
    </w:p>
    <w:p w14:paraId="7D0BD847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517B9" w14:textId="77777777" w:rsidR="000C2A17" w:rsidRDefault="00000000">
      <w:r>
        <w:rPr>
          <w:b/>
          <w:bCs/>
        </w:rPr>
        <w:t>Questions the dashboard answers:</w:t>
      </w:r>
    </w:p>
    <w:p w14:paraId="091BFED5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0BF711" w14:textId="77777777" w:rsidR="000C2A17" w:rsidRDefault="00000000">
      <w:pPr>
        <w:numPr>
          <w:ilvl w:val="0"/>
          <w:numId w:val="1"/>
        </w:numPr>
      </w:pPr>
      <w:r>
        <w:t>What key metrics define overall business performance, including total revenue, profit, order volume, quantity sold, and average discount rate, and how do these compare on a year-over-year basis? total revenue, profit, order volume, units sold, and average discount rate, and how does it compare year-over-year?</w:t>
      </w:r>
    </w:p>
    <w:p w14:paraId="7011F7CD" w14:textId="77777777" w:rsidR="000C2A17" w:rsidRDefault="00000000">
      <w:pPr>
        <w:numPr>
          <w:ilvl w:val="0"/>
          <w:numId w:val="1"/>
        </w:numPr>
      </w:pPr>
      <w:r>
        <w:t>How have monthly sales trended against the prior year?</w:t>
      </w:r>
    </w:p>
    <w:p w14:paraId="7C5C6F40" w14:textId="77777777" w:rsidR="000C2A17" w:rsidRDefault="00000000">
      <w:pPr>
        <w:numPr>
          <w:ilvl w:val="0"/>
          <w:numId w:val="1"/>
        </w:numPr>
      </w:pPr>
      <w:r>
        <w:t>Which customer segments (Consumer, Corporate, Home Office) drive the most revenue and volume?</w:t>
      </w:r>
    </w:p>
    <w:p w14:paraId="0124ED27" w14:textId="77777777" w:rsidR="000C2A17" w:rsidRDefault="00000000">
      <w:pPr>
        <w:numPr>
          <w:ilvl w:val="0"/>
          <w:numId w:val="1"/>
        </w:numPr>
      </w:pPr>
      <w:r>
        <w:t>Which product categories (Technology, Furniture, Office Supplies) are the top revenue contributors?</w:t>
      </w:r>
    </w:p>
    <w:p w14:paraId="00AAB13C" w14:textId="77777777" w:rsidR="000C2A17" w:rsidRDefault="00000000">
      <w:pPr>
        <w:numPr>
          <w:ilvl w:val="0"/>
          <w:numId w:val="1"/>
        </w:numPr>
      </w:pPr>
      <w:r>
        <w:t>Which states and regions are the biggest revenue strongholds, and how is customer segment mix distributed geographically?</w:t>
      </w:r>
    </w:p>
    <w:p w14:paraId="2F5E09E4" w14:textId="77777777" w:rsidR="000C2A17" w:rsidRDefault="00000000">
      <w:pPr>
        <w:numPr>
          <w:ilvl w:val="0"/>
          <w:numId w:val="1"/>
        </w:numPr>
      </w:pPr>
      <w:r>
        <w:lastRenderedPageBreak/>
        <w:t>Where should the company prioritize resources for its new subsidiary?</w:t>
      </w:r>
    </w:p>
    <w:p w14:paraId="45AE2C8E" w14:textId="77777777" w:rsidR="000C2A17" w:rsidRDefault="00000000">
      <w:pPr>
        <w:pStyle w:val="Heading2"/>
      </w:pPr>
      <w:bookmarkStart w:id="2" w:name="_tb08z8drfzo" w:colFirst="0" w:colLast="0"/>
      <w:bookmarkEnd w:id="2"/>
      <w:r>
        <w:t>Data Source</w:t>
      </w:r>
    </w:p>
    <w:p w14:paraId="45F02208" w14:textId="77777777" w:rsidR="000C2A17" w:rsidRDefault="00000000">
      <w:r>
        <w:t xml:space="preserve">This project uses the </w:t>
      </w:r>
      <w:r>
        <w:rPr>
          <w:b/>
          <w:bCs/>
        </w:rPr>
        <w:t>Sample – Superstore</w:t>
      </w:r>
      <w:r>
        <w:t xml:space="preserve"> dataset (9,994 order-line records, 2011–2014), originally distributed with Tableau Desktop as a demo/training dataset and widely mirrored on Kaggle and the Tableau Community. It is synthetic data, used here to demonstrate an end-to-end analysis workflow rather than to represent a real company.</w:t>
      </w:r>
    </w:p>
    <w:p w14:paraId="2856785B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400AB" w14:textId="77777777" w:rsidR="000C2A17" w:rsidRDefault="00000000">
      <w:pPr>
        <w:rPr>
          <w:color w:val="6D9EEB"/>
        </w:rPr>
      </w:pPr>
      <w:r>
        <w:t>Four columns were engineered on top of the original fields for this analysis:</w:t>
      </w:r>
      <w:r>
        <w:rPr>
          <w:color w:val="6D9EEB"/>
        </w:rPr>
        <w:t xml:space="preserve"> </w:t>
      </w:r>
      <w:r>
        <w:rPr>
          <w:rFonts w:ascii="Roboto Mono" w:eastAsia="Roboto Mono" w:hAnsi="Roboto Mono" w:cs="Roboto Mono"/>
          <w:color w:val="6D9EEB"/>
        </w:rPr>
        <w:t>Discounted Unit Price</w:t>
      </w:r>
      <w:r>
        <w:rPr>
          <w:color w:val="6D9EEB"/>
        </w:rPr>
        <w:t xml:space="preserve">, </w:t>
      </w:r>
      <w:r>
        <w:rPr>
          <w:rFonts w:ascii="Roboto Mono" w:eastAsia="Roboto Mono" w:hAnsi="Roboto Mono" w:cs="Roboto Mono"/>
          <w:color w:val="6D9EEB"/>
        </w:rPr>
        <w:t>Profit Margin</w:t>
      </w:r>
      <w:r>
        <w:rPr>
          <w:color w:val="6D9EEB"/>
        </w:rPr>
        <w:t xml:space="preserve">, </w:t>
      </w:r>
      <w:r>
        <w:rPr>
          <w:rFonts w:ascii="Roboto Mono" w:eastAsia="Roboto Mono" w:hAnsi="Roboto Mono" w:cs="Roboto Mono"/>
          <w:color w:val="6D9EEB"/>
        </w:rPr>
        <w:t>Lead Time</w:t>
      </w:r>
      <w:r>
        <w:rPr>
          <w:color w:val="6D9EEB"/>
        </w:rPr>
        <w:t xml:space="preserve">, and </w:t>
      </w:r>
      <w:r>
        <w:rPr>
          <w:rFonts w:ascii="Roboto Mono" w:eastAsia="Roboto Mono" w:hAnsi="Roboto Mono" w:cs="Roboto Mono"/>
          <w:color w:val="6D9EEB"/>
        </w:rPr>
        <w:t>Delivery Status</w:t>
      </w:r>
      <w:r>
        <w:rPr>
          <w:color w:val="6D9EEB"/>
        </w:rPr>
        <w:t>.</w:t>
      </w:r>
    </w:p>
    <w:p w14:paraId="69AA7024" w14:textId="77777777" w:rsidR="000C2A17" w:rsidRDefault="00000000">
      <w:pPr>
        <w:pStyle w:val="Heading2"/>
      </w:pPr>
      <w:bookmarkStart w:id="3" w:name="_tqflkk8kl34t" w:colFirst="0" w:colLast="0"/>
      <w:bookmarkEnd w:id="3"/>
      <w:r>
        <w:t>What's in the Workbook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C2A17" w14:paraId="737EC2D7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14FB" w14:textId="77777777" w:rsidR="000C2A1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Sheet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BD59" w14:textId="77777777" w:rsidR="000C2A1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C2A17" w14:paraId="69C07D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A532" w14:textId="77777777" w:rsidR="000C2A17" w:rsidRDefault="00000000">
            <w:pPr>
              <w:rPr>
                <w:color w:val="6D9EEB"/>
              </w:rPr>
            </w:pPr>
            <w:r>
              <w:rPr>
                <w:rFonts w:ascii="Roboto Mono" w:eastAsia="Roboto Mono" w:hAnsi="Roboto Mono" w:cs="Roboto Mono"/>
                <w:color w:val="6D9EEB"/>
              </w:rPr>
              <w:t>Dataset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4901" w14:textId="77777777" w:rsidR="000C2A17" w:rsidRDefault="00000000">
            <w:r>
              <w:t>Raw order-level data (9,994 rows, 24 columns), loaded as an Excel Table and connected to the Data Model.</w:t>
            </w:r>
          </w:p>
        </w:tc>
      </w:tr>
      <w:tr w:rsidR="000C2A17" w14:paraId="215E4F8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9BA9" w14:textId="77777777" w:rsidR="000C2A17" w:rsidRDefault="00000000">
            <w:pPr>
              <w:rPr>
                <w:color w:val="6D9EEB"/>
              </w:rPr>
            </w:pPr>
            <w:r>
              <w:rPr>
                <w:rFonts w:ascii="Roboto Mono" w:eastAsia="Roboto Mono" w:hAnsi="Roboto Mono" w:cs="Roboto Mono"/>
                <w:color w:val="6D9EEB"/>
              </w:rPr>
              <w:t>Analysis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709E" w14:textId="77777777" w:rsidR="000C2A17" w:rsidRDefault="00000000">
            <w:r>
              <w:t>Staging layer — PivotTable outputs (monthly trend, segment, category, state, and segment-by-region breakdowns) that feed the dashboard's charts and KPI cards.</w:t>
            </w:r>
          </w:p>
        </w:tc>
      </w:tr>
      <w:tr w:rsidR="000C2A17" w14:paraId="164EE3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4702" w14:textId="77777777" w:rsidR="000C2A17" w:rsidRDefault="00000000">
            <w:pPr>
              <w:rPr>
                <w:color w:val="6D9EEB"/>
              </w:rPr>
            </w:pPr>
            <w:r>
              <w:rPr>
                <w:rFonts w:ascii="Roboto Mono" w:eastAsia="Roboto Mono" w:hAnsi="Roboto Mono" w:cs="Roboto Mono"/>
                <w:color w:val="6D9EEB"/>
              </w:rPr>
              <w:t>Dashboard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D938" w14:textId="77777777" w:rsidR="000C2A17" w:rsidRDefault="00000000">
            <w:r>
              <w:t>The final one-page executive summary — see below.</w:t>
            </w:r>
          </w:p>
        </w:tc>
      </w:tr>
    </w:tbl>
    <w:p w14:paraId="6B75D641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A96989" w14:textId="77777777" w:rsidR="000C2A17" w:rsidRDefault="00000000">
      <w:r>
        <w:rPr>
          <w:b/>
          <w:bCs/>
        </w:rPr>
        <w:t>Data model:</w:t>
      </w:r>
      <w:r>
        <w:t xml:space="preserve"> Built on Power Pivot, with a dedicated </w:t>
      </w:r>
      <w:r>
        <w:rPr>
          <w:rFonts w:ascii="Roboto Mono" w:eastAsia="Roboto Mono" w:hAnsi="Roboto Mono" w:cs="Roboto Mono"/>
          <w:color w:val="6D9EEB"/>
        </w:rPr>
        <w:t>Calendar</w:t>
      </w:r>
      <w:r>
        <w:rPr>
          <w:color w:val="6D9EEB"/>
        </w:rPr>
        <w:t xml:space="preserve"> </w:t>
      </w:r>
      <w:r>
        <w:t xml:space="preserve">date table related to the Dataset table, and DAX measures for time-intelligence calculations (e.g. Year-over-Year revenue and a prior-year comparison measure using </w:t>
      </w:r>
      <w:r>
        <w:rPr>
          <w:rFonts w:ascii="Roboto Mono" w:eastAsia="Roboto Mono" w:hAnsi="Roboto Mono" w:cs="Roboto Mono"/>
          <w:color w:val="6D9EEB"/>
        </w:rPr>
        <w:t>HASONEVALUE</w:t>
      </w:r>
      <w:r>
        <w:rPr>
          <w:color w:val="6D9EEB"/>
        </w:rPr>
        <w:t xml:space="preserve"> / </w:t>
      </w:r>
      <w:r>
        <w:rPr>
          <w:rFonts w:ascii="Roboto Mono" w:eastAsia="Roboto Mono" w:hAnsi="Roboto Mono" w:cs="Roboto Mono"/>
          <w:color w:val="6D9EEB"/>
        </w:rPr>
        <w:t>SELECTEDVALUE</w:t>
      </w:r>
      <w:r>
        <w:t xml:space="preserve"> patterns).</w:t>
      </w:r>
    </w:p>
    <w:p w14:paraId="5842723A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250386" w14:textId="77777777" w:rsidR="000C2A17" w:rsidRDefault="00000000">
      <w:r>
        <w:rPr>
          <w:b/>
          <w:bCs/>
        </w:rPr>
        <w:t>Dashboard components:</w:t>
      </w:r>
    </w:p>
    <w:p w14:paraId="0F04E71A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22857F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5 KPI cards</w:t>
      </w:r>
      <w:r>
        <w:t xml:space="preserve">: Total Revenue, Profit Generated, Total Quantity, Average Discount, and Total Orders, custom-formatted to display in thousands/millions (e.g. </w:t>
      </w:r>
      <w:r>
        <w:rPr>
          <w:rFonts w:ascii="Roboto Mono" w:eastAsia="Roboto Mono" w:hAnsi="Roboto Mono" w:cs="Roboto Mono"/>
          <w:color w:val="6D9EEB"/>
        </w:rPr>
        <w:t>$2.3M</w:t>
      </w:r>
      <w:r>
        <w:rPr>
          <w:color w:val="6D9EEB"/>
        </w:rPr>
        <w:t xml:space="preserve">, </w:t>
      </w:r>
      <w:r>
        <w:rPr>
          <w:rFonts w:ascii="Roboto Mono" w:eastAsia="Roboto Mono" w:hAnsi="Roboto Mono" w:cs="Roboto Mono"/>
          <w:color w:val="6D9EEB"/>
        </w:rPr>
        <w:t>$286.4K</w:t>
      </w:r>
      <w:r>
        <w:t>) via a dynamic number format.</w:t>
      </w:r>
    </w:p>
    <w:p w14:paraId="296823B1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Monthly Trend chart</w:t>
      </w:r>
      <w:r>
        <w:t>: Current-year revenue plotted against the prior year to surface seasonality and YoY momentum.</w:t>
      </w:r>
    </w:p>
    <w:p w14:paraId="1B2E0CE1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Segment breakdown</w:t>
      </w:r>
      <w:r>
        <w:t>: revenue by Consumer / Corporate / Home Office.</w:t>
      </w:r>
    </w:p>
    <w:p w14:paraId="50B0C378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Category breakdown</w:t>
      </w:r>
      <w:r>
        <w:t>: revenue by Technology / Furniture / Office Supplies.</w:t>
      </w:r>
    </w:p>
    <w:p w14:paraId="2847A11F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Top 5 states by revenue</w:t>
      </w:r>
      <w:r>
        <w:t>: geographic revenue leaders.</w:t>
      </w:r>
    </w:p>
    <w:p w14:paraId="5EFCE386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Filled map visual</w:t>
      </w:r>
      <w:r>
        <w:t>: revenue by state, for at-a-glance geographic distribution.</w:t>
      </w:r>
    </w:p>
    <w:p w14:paraId="26B16D8A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Segment × Region matrix</w:t>
      </w:r>
      <w:r>
        <w:t>:  how customer segment mix varies (or doesn't) across regions.</w:t>
      </w:r>
    </w:p>
    <w:p w14:paraId="7FC40326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Slicers</w:t>
      </w:r>
      <w:r>
        <w:t>: Year, Sub-Category, Ship Mode, and Delivery Status, so any visual can be filtered interactively.</w:t>
      </w:r>
    </w:p>
    <w:p w14:paraId="1DB9B59A" w14:textId="77777777" w:rsidR="000C2A17" w:rsidRDefault="00000000">
      <w:pPr>
        <w:pStyle w:val="Heading2"/>
      </w:pPr>
      <w:bookmarkStart w:id="4" w:name="_e96fkllf4kmy" w:colFirst="0" w:colLast="0"/>
      <w:bookmarkEnd w:id="4"/>
      <w:r>
        <w:t>Key Insights</w:t>
      </w:r>
    </w:p>
    <w:p w14:paraId="7878A4E4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Growth is outrunning profit.</w:t>
      </w:r>
      <w:r>
        <w:t xml:space="preserve"> Revenue grew ~20.6% year-over-year while profit grew only ~14.4%, as average discounts ticked up and margin slipped, a reminder that top-line growth alone doesn't confirm financial health.</w:t>
      </w:r>
    </w:p>
    <w:p w14:paraId="475AB7C3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Furniture is a profitability trap.</w:t>
      </w:r>
      <w:r>
        <w:t xml:space="preserve"> It drives roughly a third of all revenue but returns a razor-thin margin, dragged down specifically by Tables and Bookcases, which carry the highest average discounts in the catalog and are net loss-making.</w:t>
      </w:r>
    </w:p>
    <w:p w14:paraId="7E489445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Discounting is the mechanism, not demand.</w:t>
      </w:r>
      <w:r>
        <w:t xml:space="preserve"> Discount rate and profit margin are strongly negatively correlated; margin turns negative once a line item's discount passes roughly 20%.</w:t>
      </w:r>
    </w:p>
    <w:p w14:paraId="416D1281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Revenue size is misleading without profitability.</w:t>
      </w:r>
      <w:r>
        <w:t xml:space="preserve"> California and New York are both high-revenue </w:t>
      </w:r>
      <w:r>
        <w:rPr>
          <w:i/>
          <w:iCs/>
        </w:rPr>
        <w:t>and</w:t>
      </w:r>
      <w:r>
        <w:t xml:space="preserve"> high-margin, the strongest expansion signal in the data. Texas, Ohio, Pennsylvania, and Illinois generate comparable revenue but are net loss-making, driven by much heavier average discounting.</w:t>
      </w:r>
    </w:p>
    <w:p w14:paraId="106BA706" w14:textId="77777777" w:rsidR="000C2A17" w:rsidRDefault="00000000">
      <w:pPr>
        <w:numPr>
          <w:ilvl w:val="0"/>
          <w:numId w:val="1"/>
        </w:numPr>
      </w:pPr>
      <w:r>
        <w:rPr>
          <w:b/>
          <w:bCs/>
        </w:rPr>
        <w:t>Segment mix doesn't vary by geography.</w:t>
      </w:r>
      <w:r>
        <w:t xml:space="preserve"> The Consumer/Corporate/Home Office split is nearly identical in every region, so segment mix isn't a useful screen for site selection; regional and state-level profitability is.</w:t>
      </w:r>
    </w:p>
    <w:p w14:paraId="0CF34196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7D801" w14:textId="77777777" w:rsidR="000C2A17" w:rsidRDefault="00000000">
      <w:r>
        <w:rPr>
          <w:b/>
          <w:bCs/>
        </w:rPr>
        <w:t>Recommendation:</w:t>
      </w:r>
      <w:r>
        <w:t xml:space="preserve"> Prioritize the new subsidiary in markets with a California/New York profile proven revenue </w:t>
      </w:r>
      <w:r>
        <w:rPr>
          <w:i/>
          <w:iCs/>
        </w:rPr>
        <w:t>and</w:t>
      </w:r>
      <w:r>
        <w:t xml:space="preserve"> margin strength, rather than markets chosen on revenue size alone, and address discount governance (especially on Tables and Bookcases) before scaling the current product mix into a new location. See </w:t>
      </w:r>
      <w:r>
        <w:rPr>
          <w:rFonts w:ascii="Roboto Mono" w:eastAsia="Roboto Mono" w:hAnsi="Roboto Mono" w:cs="Roboto Mono"/>
          <w:color w:val="6D9EEB"/>
        </w:rPr>
        <w:t>Expansion_Recommendation.docx</w:t>
      </w:r>
      <w:r>
        <w:rPr>
          <w:color w:val="6D9EEB"/>
        </w:rPr>
        <w:t xml:space="preserve"> </w:t>
      </w:r>
      <w:r>
        <w:t>in this repo for the full one-page write-up.</w:t>
      </w:r>
    </w:p>
    <w:p w14:paraId="72968743" w14:textId="77777777" w:rsidR="000C2A17" w:rsidRDefault="00000000">
      <w:pPr>
        <w:pStyle w:val="Heading2"/>
      </w:pPr>
      <w:bookmarkStart w:id="5" w:name="_ftz6c37o6b4v" w:colFirst="0" w:colLast="0"/>
      <w:bookmarkEnd w:id="5"/>
      <w:r>
        <w:t>Skills Demonstrated</w:t>
      </w:r>
    </w:p>
    <w:p w14:paraId="13CFFA92" w14:textId="77777777" w:rsidR="000C2A17" w:rsidRDefault="00000000">
      <w:r>
        <w:t>Excel Data Model / Power Pivot · DAX measures &amp; time intelligence (YoY, prior-year comparisons) · Power Query · PivotTables &amp; PivotCharts · slicers for interactive filtering · custom number formatting · dashboard design and one-page executive storytelling · translating data findings into a business recommendation.</w:t>
      </w:r>
    </w:p>
    <w:p w14:paraId="2CCC75CD" w14:textId="77777777" w:rsidR="000C2A17" w:rsidRDefault="00000000">
      <w:pPr>
        <w:pStyle w:val="Heading2"/>
      </w:pPr>
      <w:bookmarkStart w:id="6" w:name="_wuk61urb8mj" w:colFirst="0" w:colLast="0"/>
      <w:bookmarkEnd w:id="6"/>
      <w:r>
        <w:t>Repository Contents</w:t>
      </w:r>
    </w:p>
    <w:p w14:paraId="3AD00D3E" w14:textId="77777777" w:rsidR="000C2A17" w:rsidRDefault="00000000">
      <w:r>
        <w:t>Sales_Performance_Analysis.xlsx   # Full workbook: raw data, data model, analysis, dashboard</w:t>
      </w:r>
    </w:p>
    <w:p w14:paraId="5A98E035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DE458B" w14:textId="77777777" w:rsidR="000C2A17" w:rsidRDefault="00000000">
      <w:r>
        <w:t>Expansion_Recommendation_Memo.docx # One-page business recommendation memo</w:t>
      </w:r>
    </w:p>
    <w:p w14:paraId="2B1EBBBD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151E1F" w14:textId="77777777" w:rsidR="000C2A17" w:rsidRDefault="00000000">
      <w:r>
        <w:t>assets/</w:t>
      </w:r>
    </w:p>
    <w:p w14:paraId="26316AA6" w14:textId="77777777" w:rsidR="000C2A17" w:rsidRDefault="000C2A1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D51E8C" w14:textId="77777777" w:rsidR="000C2A17" w:rsidRDefault="00000000">
      <w:r>
        <w:t>dashboard-preview.png         # Screenshot of the Dashboard tab</w:t>
      </w:r>
    </w:p>
    <w:p w14:paraId="1B01BC33" w14:textId="77777777" w:rsidR="000C2A17" w:rsidRDefault="000C2A17"/>
    <w:p w14:paraId="2C9DB41D" w14:textId="77777777" w:rsidR="000C2A17" w:rsidRDefault="00000000">
      <w:pPr>
        <w:pStyle w:val="Heading2"/>
      </w:pPr>
      <w:bookmarkStart w:id="7" w:name="_cfmcwb8yyoxw" w:colFirst="0" w:colLast="0"/>
      <w:bookmarkEnd w:id="7"/>
      <w:r>
        <w:lastRenderedPageBreak/>
        <w:t>Data Source Acknowledgement</w:t>
      </w:r>
    </w:p>
    <w:p w14:paraId="3913903B" w14:textId="77777777" w:rsidR="000C2A17" w:rsidRDefault="00000000">
      <w:r>
        <w:t>Sample – Superstore dataset, originally distributed with Tableau (Tableau Software / Salesforce); publicly available via the Tableau Community and Kaggle. Used here for independent portfolio analysis; all figures in this README and the accompanying memo were calculated directly from the raw order-level data.</w:t>
      </w:r>
    </w:p>
    <w:p w14:paraId="3E90FD27" w14:textId="77777777" w:rsidR="000C2A17" w:rsidRDefault="000C2A17"/>
    <w:sectPr w:rsidR="000C2A17" w:rsidSect="00C44D03">
      <w:pgSz w:w="12240" w:h="15840"/>
      <w:pgMar w:top="5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E564BDB-DCED-43D2-B909-BD7563EEEEC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E9A7EE7-D8C2-4A5A-B1D2-7AC481571C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723D02-0E81-4693-8C5F-A737F780A1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D692E"/>
    <w:multiLevelType w:val="multilevel"/>
    <w:tmpl w:val="9F88BA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3875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A17"/>
    <w:rsid w:val="000C2A17"/>
    <w:rsid w:val="00C44D03"/>
    <w:rsid w:val="00DF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BFAA"/>
  <w15:docId w15:val="{D535190E-F6CF-4847-88F6-2AD8BD87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Mubarakah Adebayo</cp:lastModifiedBy>
  <cp:revision>2</cp:revision>
  <dcterms:created xsi:type="dcterms:W3CDTF">2026-08-29T15:50:00Z</dcterms:created>
  <dcterms:modified xsi:type="dcterms:W3CDTF">2026-08-29T15:51:00Z</dcterms:modified>
</cp:coreProperties>
</file>