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FD6D"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D128A4E" w:rsidR="00FC42B7" w:rsidRPr="00FC42B7" w:rsidRDefault="00632FB1" w:rsidP="00FC42B7">
      <w:pPr>
        <w:tabs>
          <w:tab w:val="left" w:pos="2550"/>
        </w:tabs>
        <w:ind w:firstLineChars="200" w:firstLine="420"/>
        <w:rPr>
          <w:rFonts w:ascii="宋体" w:eastAsia="宋体" w:hAnsi="宋体"/>
          <w:bCs/>
          <w:szCs w:val="21"/>
        </w:rPr>
      </w:pPr>
      <w:r w:rsidRPr="00632FB1">
        <w:rPr>
          <w:rFonts w:ascii="宋体" w:eastAsia="宋体" w:hAnsi="宋体" w:hint="eastAsia"/>
          <w:szCs w:val="21"/>
        </w:rPr>
        <w:t>摘要</w:t>
      </w:r>
      <w:bookmarkStart w:id="0" w:name="_GoBack"/>
      <w:bookmarkEnd w:id="0"/>
      <w:r w:rsidRPr="00632FB1">
        <w:rPr>
          <w:rFonts w:ascii="宋体" w:eastAsia="宋体" w:hAnsi="宋体" w:hint="eastAsia"/>
          <w:szCs w:val="21"/>
        </w:rPr>
        <w:t>正文五号宋体，首行缩进二个字符，单</w:t>
      </w:r>
      <w:proofErr w:type="gramStart"/>
      <w:r w:rsidRPr="00632FB1">
        <w:rPr>
          <w:rFonts w:ascii="宋体" w:eastAsia="宋体" w:hAnsi="宋体" w:hint="eastAsia"/>
          <w:szCs w:val="21"/>
        </w:rPr>
        <w:t>倍</w:t>
      </w:r>
      <w:proofErr w:type="gramEnd"/>
      <w:r w:rsidRPr="00632FB1">
        <w:rPr>
          <w:rFonts w:ascii="宋体" w:eastAsia="宋体" w:hAnsi="宋体" w:hint="eastAsia"/>
          <w:szCs w:val="21"/>
        </w:rPr>
        <w:t>行距。</w:t>
      </w:r>
      <w:r w:rsidRPr="00632FB1">
        <w:rPr>
          <w:rFonts w:ascii="宋体" w:eastAsia="宋体" w:hAnsi="宋体"/>
          <w:szCs w:val="21"/>
        </w:rPr>
        <w:t>300-500字</w:t>
      </w:r>
      <w:r>
        <w:rPr>
          <w:rFonts w:ascii="宋体" w:eastAsia="宋体" w:hAnsi="宋体" w:hint="eastAsia"/>
          <w:szCs w:val="21"/>
        </w:rPr>
        <w:t>。</w:t>
      </w:r>
    </w:p>
    <w:p w14:paraId="7E519691" w14:textId="1509714F" w:rsidR="00FC42B7" w:rsidRDefault="006351CD" w:rsidP="00FC42B7">
      <w:pPr>
        <w:jc w:val="left"/>
        <w:rPr>
          <w:rFonts w:ascii="宋体" w:eastAsia="宋体" w:hAnsi="宋体"/>
          <w:sz w:val="28"/>
          <w:szCs w:val="32"/>
        </w:rPr>
      </w:pPr>
      <w:r>
        <w:rPr>
          <w:rFonts w:ascii="宋体" w:eastAsia="宋体" w:hAnsi="宋体"/>
          <w:sz w:val="28"/>
          <w:szCs w:val="32"/>
        </w:rPr>
        <w:tab/>
      </w:r>
    </w:p>
    <w:p w14:paraId="6682D109" w14:textId="06C3BEEA" w:rsidR="00A27AB7" w:rsidRDefault="006351CD" w:rsidP="00FC42B7">
      <w:pPr>
        <w:jc w:val="left"/>
        <w:rPr>
          <w:rFonts w:ascii="宋体" w:eastAsia="宋体" w:hAnsi="宋体"/>
          <w:szCs w:val="32"/>
        </w:rPr>
      </w:pPr>
      <w:r w:rsidRPr="006351CD">
        <w:rPr>
          <w:rFonts w:ascii="黑体" w:eastAsia="黑体" w:hAnsi="黑体" w:hint="eastAsia"/>
          <w:sz w:val="24"/>
          <w:szCs w:val="32"/>
        </w:rPr>
        <w:t>关键词：</w:t>
      </w:r>
      <w:r w:rsidR="005128D4" w:rsidRPr="005128D4">
        <w:rPr>
          <w:rFonts w:ascii="宋体" w:eastAsia="宋体" w:hAnsi="宋体" w:hint="eastAsia"/>
          <w:szCs w:val="32"/>
        </w:rPr>
        <w:t>关键词1，关键词2，关键词3</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1" w:name="_Toc105491689"/>
      <w:r w:rsidRPr="001C2CBD">
        <w:rPr>
          <w:rFonts w:ascii="Times New Roman" w:hAnsi="Times New Roman" w:cs="Times New Roman"/>
          <w:b/>
          <w:sz w:val="28"/>
          <w:szCs w:val="28"/>
        </w:rPr>
        <w:t>ABSTRACT</w:t>
      </w:r>
      <w:bookmarkEnd w:id="1"/>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6CF79B38" w:rsidR="00A97DAA" w:rsidRDefault="00E308BB" w:rsidP="00A97DAA">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344C64A2"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165D67">
        <w:rPr>
          <w:rFonts w:ascii="Times New Roman" w:hAnsi="Times New Roman" w:cs="Times New Roman" w:hint="eastAsia"/>
          <w:szCs w:val="28"/>
        </w:rPr>
        <w:t>Key</w:t>
      </w:r>
      <w:r w:rsidR="00165D67">
        <w:rPr>
          <w:rFonts w:ascii="Times New Roman" w:hAnsi="Times New Roman" w:cs="Times New Roman"/>
          <w:szCs w:val="28"/>
        </w:rPr>
        <w:t>1, key2, key3</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13C58CD6" w14:textId="75AE270C" w:rsidR="00725295"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725295">
        <w:rPr>
          <w:noProof/>
        </w:rPr>
        <w:t>第一章 绪论</w:t>
      </w:r>
      <w:r w:rsidR="00725295">
        <w:rPr>
          <w:noProof/>
        </w:rPr>
        <w:tab/>
      </w:r>
      <w:r w:rsidR="00725295">
        <w:rPr>
          <w:noProof/>
        </w:rPr>
        <w:fldChar w:fldCharType="begin"/>
      </w:r>
      <w:r w:rsidR="00725295">
        <w:rPr>
          <w:noProof/>
        </w:rPr>
        <w:instrText xml:space="preserve"> PAGEREF _Toc3381462 \h </w:instrText>
      </w:r>
      <w:r w:rsidR="00725295">
        <w:rPr>
          <w:noProof/>
        </w:rPr>
      </w:r>
      <w:r w:rsidR="00725295">
        <w:rPr>
          <w:noProof/>
        </w:rPr>
        <w:fldChar w:fldCharType="separate"/>
      </w:r>
      <w:r w:rsidR="001C761C">
        <w:rPr>
          <w:noProof/>
        </w:rPr>
        <w:t>1</w:t>
      </w:r>
      <w:r w:rsidR="00725295">
        <w:rPr>
          <w:noProof/>
        </w:rPr>
        <w:fldChar w:fldCharType="end"/>
      </w:r>
    </w:p>
    <w:p w14:paraId="1CB8B53A" w14:textId="338E7E45" w:rsidR="00725295" w:rsidRDefault="00725295">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_Toc3381463 \h </w:instrText>
      </w:r>
      <w:r>
        <w:rPr>
          <w:noProof/>
        </w:rPr>
      </w:r>
      <w:r>
        <w:rPr>
          <w:noProof/>
        </w:rPr>
        <w:fldChar w:fldCharType="separate"/>
      </w:r>
      <w:r w:rsidR="001C761C">
        <w:rPr>
          <w:noProof/>
        </w:rPr>
        <w:t>1</w:t>
      </w:r>
      <w:r>
        <w:rPr>
          <w:noProof/>
        </w:rPr>
        <w:fldChar w:fldCharType="end"/>
      </w:r>
    </w:p>
    <w:p w14:paraId="750D307C" w14:textId="121925AD" w:rsidR="00725295" w:rsidRDefault="00725295">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_Toc3381464 \h </w:instrText>
      </w:r>
      <w:r>
        <w:rPr>
          <w:noProof/>
        </w:rPr>
      </w:r>
      <w:r>
        <w:rPr>
          <w:noProof/>
        </w:rPr>
        <w:fldChar w:fldCharType="separate"/>
      </w:r>
      <w:r w:rsidR="001C761C">
        <w:rPr>
          <w:noProof/>
        </w:rPr>
        <w:t>1</w:t>
      </w:r>
      <w:r>
        <w:rPr>
          <w:noProof/>
        </w:rPr>
        <w:fldChar w:fldCharType="end"/>
      </w:r>
    </w:p>
    <w:p w14:paraId="1609EAA7" w14:textId="1341423A" w:rsidR="00725295" w:rsidRDefault="00725295">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_Toc3381465 \h </w:instrText>
      </w:r>
      <w:r>
        <w:rPr>
          <w:noProof/>
        </w:rPr>
      </w:r>
      <w:r>
        <w:rPr>
          <w:noProof/>
        </w:rPr>
        <w:fldChar w:fldCharType="separate"/>
      </w:r>
      <w:r w:rsidR="001C761C">
        <w:rPr>
          <w:noProof/>
        </w:rPr>
        <w:t>1</w:t>
      </w:r>
      <w:r>
        <w:rPr>
          <w:noProof/>
        </w:rPr>
        <w:fldChar w:fldCharType="end"/>
      </w:r>
    </w:p>
    <w:p w14:paraId="157BC7D6" w14:textId="294B6BCF" w:rsidR="00725295" w:rsidRDefault="00725295">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_Toc3381466 \h </w:instrText>
      </w:r>
      <w:r>
        <w:rPr>
          <w:noProof/>
        </w:rPr>
      </w:r>
      <w:r>
        <w:rPr>
          <w:noProof/>
        </w:rPr>
        <w:fldChar w:fldCharType="separate"/>
      </w:r>
      <w:r w:rsidR="001C761C">
        <w:rPr>
          <w:noProof/>
        </w:rPr>
        <w:t>1</w:t>
      </w:r>
      <w:r>
        <w:rPr>
          <w:noProof/>
        </w:rPr>
        <w:fldChar w:fldCharType="end"/>
      </w:r>
    </w:p>
    <w:p w14:paraId="48AE14F0" w14:textId="68DEBEE0" w:rsidR="00725295" w:rsidRDefault="00725295">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_Toc3381467 \h </w:instrText>
      </w:r>
      <w:r>
        <w:rPr>
          <w:noProof/>
        </w:rPr>
      </w:r>
      <w:r>
        <w:rPr>
          <w:noProof/>
        </w:rPr>
        <w:fldChar w:fldCharType="separate"/>
      </w:r>
      <w:r w:rsidR="001C761C">
        <w:rPr>
          <w:noProof/>
        </w:rPr>
        <w:t>1</w:t>
      </w:r>
      <w:r>
        <w:rPr>
          <w:noProof/>
        </w:rPr>
        <w:fldChar w:fldCharType="end"/>
      </w:r>
    </w:p>
    <w:p w14:paraId="59661DDE" w14:textId="6EEDE3BF" w:rsidR="00725295" w:rsidRDefault="00725295">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_Toc3381468 \h </w:instrText>
      </w:r>
      <w:r>
        <w:rPr>
          <w:noProof/>
        </w:rPr>
      </w:r>
      <w:r>
        <w:rPr>
          <w:noProof/>
        </w:rPr>
        <w:fldChar w:fldCharType="separate"/>
      </w:r>
      <w:r w:rsidR="001C761C">
        <w:rPr>
          <w:noProof/>
        </w:rPr>
        <w:t>2</w:t>
      </w:r>
      <w:r>
        <w:rPr>
          <w:noProof/>
        </w:rPr>
        <w:fldChar w:fldCharType="end"/>
      </w:r>
    </w:p>
    <w:p w14:paraId="3D94AFF4" w14:textId="3BA242F8" w:rsidR="00725295" w:rsidRDefault="00725295">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_Toc3381469 \h </w:instrText>
      </w:r>
      <w:r>
        <w:rPr>
          <w:noProof/>
        </w:rPr>
      </w:r>
      <w:r>
        <w:rPr>
          <w:noProof/>
        </w:rPr>
        <w:fldChar w:fldCharType="separate"/>
      </w:r>
      <w:r w:rsidR="001C761C">
        <w:rPr>
          <w:noProof/>
        </w:rPr>
        <w:t>3</w:t>
      </w:r>
      <w:r>
        <w:rPr>
          <w:noProof/>
        </w:rPr>
        <w:fldChar w:fldCharType="end"/>
      </w:r>
    </w:p>
    <w:p w14:paraId="0C2F0979" w14:textId="409D91A6" w:rsidR="00725295" w:rsidRDefault="00725295">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_Toc3381470 \h </w:instrText>
      </w:r>
      <w:r>
        <w:rPr>
          <w:noProof/>
        </w:rPr>
      </w:r>
      <w:r>
        <w:rPr>
          <w:noProof/>
        </w:rPr>
        <w:fldChar w:fldCharType="separate"/>
      </w:r>
      <w:r w:rsidR="001C761C">
        <w:rPr>
          <w:noProof/>
        </w:rPr>
        <w:t>3</w:t>
      </w:r>
      <w:r>
        <w:rPr>
          <w:noProof/>
        </w:rPr>
        <w:fldChar w:fldCharType="end"/>
      </w:r>
    </w:p>
    <w:p w14:paraId="038B14AB" w14:textId="4E4C7D74" w:rsidR="00725295" w:rsidRDefault="00725295">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_Toc3381471 \h </w:instrText>
      </w:r>
      <w:r>
        <w:rPr>
          <w:noProof/>
        </w:rPr>
      </w:r>
      <w:r>
        <w:rPr>
          <w:noProof/>
        </w:rPr>
        <w:fldChar w:fldCharType="separate"/>
      </w:r>
      <w:r w:rsidR="001C761C">
        <w:rPr>
          <w:noProof/>
        </w:rPr>
        <w:t>4</w:t>
      </w:r>
      <w:r>
        <w:rPr>
          <w:noProof/>
        </w:rPr>
        <w:fldChar w:fldCharType="end"/>
      </w:r>
    </w:p>
    <w:p w14:paraId="09A48FF5" w14:textId="25A355BD" w:rsidR="00725295" w:rsidRDefault="00725295">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_Toc3381472 \h </w:instrText>
      </w:r>
      <w:r>
        <w:rPr>
          <w:noProof/>
        </w:rPr>
      </w:r>
      <w:r>
        <w:rPr>
          <w:noProof/>
        </w:rPr>
        <w:fldChar w:fldCharType="separate"/>
      </w:r>
      <w:r w:rsidR="001C761C">
        <w:rPr>
          <w:noProof/>
        </w:rPr>
        <w:t>4</w:t>
      </w:r>
      <w:r>
        <w:rPr>
          <w:noProof/>
        </w:rPr>
        <w:fldChar w:fldCharType="end"/>
      </w:r>
    </w:p>
    <w:p w14:paraId="09336773" w14:textId="21B8CEE7" w:rsidR="00725295" w:rsidRDefault="00725295">
      <w:pPr>
        <w:pStyle w:val="TOC1"/>
        <w:tabs>
          <w:tab w:val="right" w:leader="dot" w:pos="8296"/>
        </w:tabs>
        <w:rPr>
          <w:rFonts w:asciiTheme="minorHAnsi" w:eastAsiaTheme="minorEastAsia" w:hAnsiTheme="minorHAnsi" w:cstheme="minorBidi"/>
          <w:noProof/>
          <w:szCs w:val="22"/>
        </w:rPr>
      </w:pPr>
      <w:r w:rsidRPr="00921B7B">
        <w:rPr>
          <w:noProof/>
        </w:rPr>
        <w:t>第二章</w:t>
      </w:r>
      <w:r>
        <w:rPr>
          <w:noProof/>
        </w:rPr>
        <w:t xml:space="preserve"> 中国股市中的日历效应</w:t>
      </w:r>
      <w:r>
        <w:rPr>
          <w:noProof/>
        </w:rPr>
        <w:tab/>
      </w:r>
      <w:r>
        <w:rPr>
          <w:noProof/>
        </w:rPr>
        <w:fldChar w:fldCharType="begin"/>
      </w:r>
      <w:r>
        <w:rPr>
          <w:noProof/>
        </w:rPr>
        <w:instrText xml:space="preserve"> PAGEREF _Toc3381473 \h </w:instrText>
      </w:r>
      <w:r>
        <w:rPr>
          <w:noProof/>
        </w:rPr>
      </w:r>
      <w:r>
        <w:rPr>
          <w:noProof/>
        </w:rPr>
        <w:fldChar w:fldCharType="separate"/>
      </w:r>
      <w:r w:rsidR="001C761C">
        <w:rPr>
          <w:noProof/>
        </w:rPr>
        <w:t>6</w:t>
      </w:r>
      <w:r>
        <w:rPr>
          <w:noProof/>
        </w:rPr>
        <w:fldChar w:fldCharType="end"/>
      </w:r>
    </w:p>
    <w:p w14:paraId="14145828" w14:textId="1DB5DD0A" w:rsidR="00725295" w:rsidRDefault="00725295">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_Toc3381474 \h </w:instrText>
      </w:r>
      <w:r>
        <w:rPr>
          <w:noProof/>
        </w:rPr>
      </w:r>
      <w:r>
        <w:rPr>
          <w:noProof/>
        </w:rPr>
        <w:fldChar w:fldCharType="separate"/>
      </w:r>
      <w:r w:rsidR="001C761C">
        <w:rPr>
          <w:noProof/>
        </w:rPr>
        <w:t>6</w:t>
      </w:r>
      <w:r>
        <w:rPr>
          <w:noProof/>
        </w:rPr>
        <w:fldChar w:fldCharType="end"/>
      </w:r>
    </w:p>
    <w:p w14:paraId="6B86C4E7" w14:textId="060F8C3A" w:rsidR="00725295" w:rsidRDefault="00725295">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_Toc3381475 \h </w:instrText>
      </w:r>
      <w:r>
        <w:rPr>
          <w:noProof/>
        </w:rPr>
      </w:r>
      <w:r>
        <w:rPr>
          <w:noProof/>
        </w:rPr>
        <w:fldChar w:fldCharType="separate"/>
      </w:r>
      <w:r w:rsidR="001C761C">
        <w:rPr>
          <w:noProof/>
        </w:rPr>
        <w:t>6</w:t>
      </w:r>
      <w:r>
        <w:rPr>
          <w:noProof/>
        </w:rPr>
        <w:fldChar w:fldCharType="end"/>
      </w:r>
    </w:p>
    <w:p w14:paraId="2C3CD1F9" w14:textId="4F334DD3" w:rsidR="00725295" w:rsidRDefault="00725295">
      <w:pPr>
        <w:pStyle w:val="TOC3"/>
        <w:tabs>
          <w:tab w:val="right" w:leader="dot" w:pos="8296"/>
        </w:tabs>
        <w:rPr>
          <w:rFonts w:asciiTheme="minorHAnsi" w:eastAsiaTheme="minorEastAsia" w:hAnsiTheme="minorHAnsi" w:cstheme="minorBidi"/>
          <w:noProof/>
          <w:szCs w:val="22"/>
        </w:rPr>
      </w:pPr>
      <w:r>
        <w:rPr>
          <w:noProof/>
        </w:rPr>
        <w:t>2.2.1 风险因素</w:t>
      </w:r>
      <w:r>
        <w:rPr>
          <w:noProof/>
        </w:rPr>
        <w:tab/>
      </w:r>
      <w:r>
        <w:rPr>
          <w:noProof/>
        </w:rPr>
        <w:fldChar w:fldCharType="begin"/>
      </w:r>
      <w:r>
        <w:rPr>
          <w:noProof/>
        </w:rPr>
        <w:instrText xml:space="preserve"> PAGEREF _Toc3381476 \h </w:instrText>
      </w:r>
      <w:r>
        <w:rPr>
          <w:noProof/>
        </w:rPr>
      </w:r>
      <w:r>
        <w:rPr>
          <w:noProof/>
        </w:rPr>
        <w:fldChar w:fldCharType="separate"/>
      </w:r>
      <w:r w:rsidR="001C761C">
        <w:rPr>
          <w:noProof/>
        </w:rPr>
        <w:t>6</w:t>
      </w:r>
      <w:r>
        <w:rPr>
          <w:noProof/>
        </w:rPr>
        <w:fldChar w:fldCharType="end"/>
      </w:r>
    </w:p>
    <w:p w14:paraId="34500145" w14:textId="1693BC4F" w:rsidR="00725295" w:rsidRDefault="00725295">
      <w:pPr>
        <w:pStyle w:val="TOC3"/>
        <w:tabs>
          <w:tab w:val="right" w:leader="dot" w:pos="8296"/>
        </w:tabs>
        <w:rPr>
          <w:rFonts w:asciiTheme="minorHAnsi" w:eastAsiaTheme="minorEastAsia" w:hAnsiTheme="minorHAnsi" w:cstheme="minorBidi"/>
          <w:noProof/>
          <w:szCs w:val="22"/>
        </w:rPr>
      </w:pPr>
      <w:r>
        <w:rPr>
          <w:noProof/>
        </w:rPr>
        <w:t>2.2.2 投资者情绪因素</w:t>
      </w:r>
      <w:r>
        <w:rPr>
          <w:noProof/>
        </w:rPr>
        <w:tab/>
      </w:r>
      <w:r>
        <w:rPr>
          <w:noProof/>
        </w:rPr>
        <w:fldChar w:fldCharType="begin"/>
      </w:r>
      <w:r>
        <w:rPr>
          <w:noProof/>
        </w:rPr>
        <w:instrText xml:space="preserve"> PAGEREF _Toc3381477 \h </w:instrText>
      </w:r>
      <w:r>
        <w:rPr>
          <w:noProof/>
        </w:rPr>
      </w:r>
      <w:r>
        <w:rPr>
          <w:noProof/>
        </w:rPr>
        <w:fldChar w:fldCharType="separate"/>
      </w:r>
      <w:r w:rsidR="001C761C">
        <w:rPr>
          <w:noProof/>
        </w:rPr>
        <w:t>7</w:t>
      </w:r>
      <w:r>
        <w:rPr>
          <w:noProof/>
        </w:rPr>
        <w:fldChar w:fldCharType="end"/>
      </w:r>
    </w:p>
    <w:p w14:paraId="7C4D764D" w14:textId="2A74A94B" w:rsidR="00725295" w:rsidRDefault="00725295">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_Toc3381478 \h </w:instrText>
      </w:r>
      <w:r>
        <w:rPr>
          <w:noProof/>
        </w:rPr>
      </w:r>
      <w:r>
        <w:rPr>
          <w:noProof/>
        </w:rPr>
        <w:fldChar w:fldCharType="separate"/>
      </w:r>
      <w:r w:rsidR="001C761C">
        <w:rPr>
          <w:noProof/>
        </w:rPr>
        <w:t>7</w:t>
      </w:r>
      <w:r>
        <w:rPr>
          <w:noProof/>
        </w:rPr>
        <w:fldChar w:fldCharType="end"/>
      </w:r>
    </w:p>
    <w:p w14:paraId="42C057B1" w14:textId="109B8C11" w:rsidR="00725295" w:rsidRDefault="00725295">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_Toc3381479 \h </w:instrText>
      </w:r>
      <w:r>
        <w:rPr>
          <w:noProof/>
        </w:rPr>
      </w:r>
      <w:r>
        <w:rPr>
          <w:noProof/>
        </w:rPr>
        <w:fldChar w:fldCharType="separate"/>
      </w:r>
      <w:r w:rsidR="001C761C">
        <w:rPr>
          <w:noProof/>
        </w:rPr>
        <w:t>8</w:t>
      </w:r>
      <w:r>
        <w:rPr>
          <w:noProof/>
        </w:rPr>
        <w:fldChar w:fldCharType="end"/>
      </w:r>
    </w:p>
    <w:p w14:paraId="67F0F48B" w14:textId="0AC28219" w:rsidR="00725295" w:rsidRDefault="00725295">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_Toc3381480 \h </w:instrText>
      </w:r>
      <w:r>
        <w:rPr>
          <w:noProof/>
        </w:rPr>
      </w:r>
      <w:r>
        <w:rPr>
          <w:noProof/>
        </w:rPr>
        <w:fldChar w:fldCharType="separate"/>
      </w:r>
      <w:r w:rsidR="001C761C">
        <w:rPr>
          <w:noProof/>
        </w:rPr>
        <w:t>9</w:t>
      </w:r>
      <w:r>
        <w:rPr>
          <w:noProof/>
        </w:rPr>
        <w:fldChar w:fldCharType="end"/>
      </w:r>
    </w:p>
    <w:p w14:paraId="21E27122" w14:textId="6C047842" w:rsidR="00725295" w:rsidRDefault="00725295">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_Toc3381481 \h </w:instrText>
      </w:r>
      <w:r>
        <w:rPr>
          <w:noProof/>
        </w:rPr>
      </w:r>
      <w:r>
        <w:rPr>
          <w:noProof/>
        </w:rPr>
        <w:fldChar w:fldCharType="separate"/>
      </w:r>
      <w:r w:rsidR="001C761C">
        <w:rPr>
          <w:noProof/>
        </w:rPr>
        <w:t>9</w:t>
      </w:r>
      <w:r>
        <w:rPr>
          <w:noProof/>
        </w:rPr>
        <w:fldChar w:fldCharType="end"/>
      </w:r>
    </w:p>
    <w:p w14:paraId="071AE9C4" w14:textId="77B677BD" w:rsidR="00725295" w:rsidRDefault="00725295">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_Toc3381482 \h </w:instrText>
      </w:r>
      <w:r>
        <w:rPr>
          <w:noProof/>
        </w:rPr>
      </w:r>
      <w:r>
        <w:rPr>
          <w:noProof/>
        </w:rPr>
        <w:fldChar w:fldCharType="separate"/>
      </w:r>
      <w:r w:rsidR="001C761C">
        <w:rPr>
          <w:noProof/>
        </w:rPr>
        <w:t>9</w:t>
      </w:r>
      <w:r>
        <w:rPr>
          <w:noProof/>
        </w:rPr>
        <w:fldChar w:fldCharType="end"/>
      </w:r>
    </w:p>
    <w:p w14:paraId="2E86B176" w14:textId="153105EE" w:rsidR="00725295" w:rsidRDefault="00725295">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_Toc3381483 \h </w:instrText>
      </w:r>
      <w:r>
        <w:rPr>
          <w:noProof/>
        </w:rPr>
      </w:r>
      <w:r>
        <w:rPr>
          <w:noProof/>
        </w:rPr>
        <w:fldChar w:fldCharType="separate"/>
      </w:r>
      <w:r w:rsidR="001C761C">
        <w:rPr>
          <w:noProof/>
        </w:rPr>
        <w:t>9</w:t>
      </w:r>
      <w:r>
        <w:rPr>
          <w:noProof/>
        </w:rPr>
        <w:fldChar w:fldCharType="end"/>
      </w:r>
    </w:p>
    <w:p w14:paraId="0052CA9F" w14:textId="3B1743D5" w:rsidR="00725295" w:rsidRDefault="00725295">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_Toc3381484 \h </w:instrText>
      </w:r>
      <w:r>
        <w:rPr>
          <w:noProof/>
        </w:rPr>
      </w:r>
      <w:r>
        <w:rPr>
          <w:noProof/>
        </w:rPr>
        <w:fldChar w:fldCharType="separate"/>
      </w:r>
      <w:r w:rsidR="001C761C">
        <w:rPr>
          <w:noProof/>
        </w:rPr>
        <w:t>10</w:t>
      </w:r>
      <w:r>
        <w:rPr>
          <w:noProof/>
        </w:rPr>
        <w:fldChar w:fldCharType="end"/>
      </w:r>
    </w:p>
    <w:p w14:paraId="0333E592" w14:textId="2BA820AB" w:rsidR="00725295" w:rsidRDefault="00725295">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_Toc3381485 \h </w:instrText>
      </w:r>
      <w:r>
        <w:rPr>
          <w:noProof/>
        </w:rPr>
      </w:r>
      <w:r>
        <w:rPr>
          <w:noProof/>
        </w:rPr>
        <w:fldChar w:fldCharType="separate"/>
      </w:r>
      <w:r w:rsidR="001C761C">
        <w:rPr>
          <w:noProof/>
        </w:rPr>
        <w:t>10</w:t>
      </w:r>
      <w:r>
        <w:rPr>
          <w:noProof/>
        </w:rPr>
        <w:fldChar w:fldCharType="end"/>
      </w:r>
    </w:p>
    <w:p w14:paraId="78FAC12B" w14:textId="719548A3" w:rsidR="00725295" w:rsidRDefault="00725295">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_Toc3381486 \h </w:instrText>
      </w:r>
      <w:r>
        <w:rPr>
          <w:noProof/>
        </w:rPr>
      </w:r>
      <w:r>
        <w:rPr>
          <w:noProof/>
        </w:rPr>
        <w:fldChar w:fldCharType="separate"/>
      </w:r>
      <w:r w:rsidR="001C761C">
        <w:rPr>
          <w:noProof/>
        </w:rPr>
        <w:t>11</w:t>
      </w:r>
      <w:r>
        <w:rPr>
          <w:noProof/>
        </w:rPr>
        <w:fldChar w:fldCharType="end"/>
      </w:r>
    </w:p>
    <w:p w14:paraId="46D18080" w14:textId="1EC023F8" w:rsidR="00725295" w:rsidRDefault="00725295">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_Toc3381487 \h </w:instrText>
      </w:r>
      <w:r>
        <w:rPr>
          <w:noProof/>
        </w:rPr>
      </w:r>
      <w:r>
        <w:rPr>
          <w:noProof/>
        </w:rPr>
        <w:fldChar w:fldCharType="separate"/>
      </w:r>
      <w:r w:rsidR="001C761C">
        <w:rPr>
          <w:noProof/>
        </w:rPr>
        <w:t>11</w:t>
      </w:r>
      <w:r>
        <w:rPr>
          <w:noProof/>
        </w:rPr>
        <w:fldChar w:fldCharType="end"/>
      </w:r>
    </w:p>
    <w:p w14:paraId="6E3B8C15" w14:textId="02B16952" w:rsidR="00725295" w:rsidRDefault="00725295">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_Toc3381488 \h </w:instrText>
      </w:r>
      <w:r>
        <w:rPr>
          <w:noProof/>
        </w:rPr>
      </w:r>
      <w:r>
        <w:rPr>
          <w:noProof/>
        </w:rPr>
        <w:fldChar w:fldCharType="separate"/>
      </w:r>
      <w:r w:rsidR="001C761C">
        <w:rPr>
          <w:noProof/>
        </w:rPr>
        <w:t>11</w:t>
      </w:r>
      <w:r>
        <w:rPr>
          <w:noProof/>
        </w:rPr>
        <w:fldChar w:fldCharType="end"/>
      </w:r>
    </w:p>
    <w:p w14:paraId="7D79FCCF" w14:textId="192A29A1" w:rsidR="00725295" w:rsidRDefault="00725295">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_Toc3381489 \h </w:instrText>
      </w:r>
      <w:r>
        <w:rPr>
          <w:noProof/>
        </w:rPr>
      </w:r>
      <w:r>
        <w:rPr>
          <w:noProof/>
        </w:rPr>
        <w:fldChar w:fldCharType="separate"/>
      </w:r>
      <w:r w:rsidR="001C761C">
        <w:rPr>
          <w:noProof/>
        </w:rPr>
        <w:t>11</w:t>
      </w:r>
      <w:r>
        <w:rPr>
          <w:noProof/>
        </w:rPr>
        <w:fldChar w:fldCharType="end"/>
      </w:r>
    </w:p>
    <w:p w14:paraId="4BE482B7" w14:textId="6854ECA0" w:rsidR="00725295" w:rsidRDefault="00725295">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_Toc3381490 \h </w:instrText>
      </w:r>
      <w:r>
        <w:rPr>
          <w:noProof/>
        </w:rPr>
      </w:r>
      <w:r>
        <w:rPr>
          <w:noProof/>
        </w:rPr>
        <w:fldChar w:fldCharType="separate"/>
      </w:r>
      <w:r w:rsidR="001C761C">
        <w:rPr>
          <w:noProof/>
        </w:rPr>
        <w:t>11</w:t>
      </w:r>
      <w:r>
        <w:rPr>
          <w:noProof/>
        </w:rPr>
        <w:fldChar w:fldCharType="end"/>
      </w:r>
    </w:p>
    <w:p w14:paraId="18778784" w14:textId="21C7BD1B" w:rsidR="00725295" w:rsidRDefault="00725295">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_Toc3381491 \h </w:instrText>
      </w:r>
      <w:r>
        <w:rPr>
          <w:noProof/>
        </w:rPr>
      </w:r>
      <w:r>
        <w:rPr>
          <w:noProof/>
        </w:rPr>
        <w:fldChar w:fldCharType="separate"/>
      </w:r>
      <w:r w:rsidR="001C761C">
        <w:rPr>
          <w:noProof/>
        </w:rPr>
        <w:t>12</w:t>
      </w:r>
      <w:r>
        <w:rPr>
          <w:noProof/>
        </w:rPr>
        <w:fldChar w:fldCharType="end"/>
      </w:r>
    </w:p>
    <w:p w14:paraId="3C968F0C" w14:textId="70E87061" w:rsidR="00725295" w:rsidRDefault="00725295">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_Toc3381492 \h </w:instrText>
      </w:r>
      <w:r>
        <w:rPr>
          <w:noProof/>
        </w:rPr>
      </w:r>
      <w:r>
        <w:rPr>
          <w:noProof/>
        </w:rPr>
        <w:fldChar w:fldCharType="separate"/>
      </w:r>
      <w:r w:rsidR="001C761C">
        <w:rPr>
          <w:noProof/>
        </w:rPr>
        <w:t>12</w:t>
      </w:r>
      <w:r>
        <w:rPr>
          <w:noProof/>
        </w:rPr>
        <w:fldChar w:fldCharType="end"/>
      </w:r>
    </w:p>
    <w:p w14:paraId="76FA8CC2" w14:textId="5B7957A9" w:rsidR="00725295" w:rsidRDefault="00725295">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_Toc3381493 \h </w:instrText>
      </w:r>
      <w:r>
        <w:rPr>
          <w:noProof/>
        </w:rPr>
      </w:r>
      <w:r>
        <w:rPr>
          <w:noProof/>
        </w:rPr>
        <w:fldChar w:fldCharType="separate"/>
      </w:r>
      <w:r w:rsidR="001C761C">
        <w:rPr>
          <w:noProof/>
        </w:rPr>
        <w:t>12</w:t>
      </w:r>
      <w:r>
        <w:rPr>
          <w:noProof/>
        </w:rPr>
        <w:fldChar w:fldCharType="end"/>
      </w:r>
    </w:p>
    <w:p w14:paraId="04F6E0AC" w14:textId="7694EFC3" w:rsidR="00725295" w:rsidRDefault="00725295">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_Toc3381494 \h </w:instrText>
      </w:r>
      <w:r>
        <w:rPr>
          <w:noProof/>
        </w:rPr>
      </w:r>
      <w:r>
        <w:rPr>
          <w:noProof/>
        </w:rPr>
        <w:fldChar w:fldCharType="separate"/>
      </w:r>
      <w:r w:rsidR="001C761C">
        <w:rPr>
          <w:noProof/>
        </w:rPr>
        <w:t>14</w:t>
      </w:r>
      <w:r>
        <w:rPr>
          <w:noProof/>
        </w:rPr>
        <w:fldChar w:fldCharType="end"/>
      </w:r>
    </w:p>
    <w:p w14:paraId="0E15D312" w14:textId="1E4C3306" w:rsidR="00725295" w:rsidRDefault="00725295">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_Toc3381495 \h </w:instrText>
      </w:r>
      <w:r>
        <w:rPr>
          <w:noProof/>
        </w:rPr>
      </w:r>
      <w:r>
        <w:rPr>
          <w:noProof/>
        </w:rPr>
        <w:fldChar w:fldCharType="separate"/>
      </w:r>
      <w:r w:rsidR="001C761C">
        <w:rPr>
          <w:noProof/>
        </w:rPr>
        <w:t>16</w:t>
      </w:r>
      <w:r>
        <w:rPr>
          <w:noProof/>
        </w:rPr>
        <w:fldChar w:fldCharType="end"/>
      </w:r>
    </w:p>
    <w:p w14:paraId="764F0FEF" w14:textId="0EDFA0D5" w:rsidR="00725295" w:rsidRDefault="00725295">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_Toc3381496 \h </w:instrText>
      </w:r>
      <w:r>
        <w:rPr>
          <w:noProof/>
        </w:rPr>
      </w:r>
      <w:r>
        <w:rPr>
          <w:noProof/>
        </w:rPr>
        <w:fldChar w:fldCharType="separate"/>
      </w:r>
      <w:r w:rsidR="001C761C">
        <w:rPr>
          <w:noProof/>
        </w:rPr>
        <w:t>16</w:t>
      </w:r>
      <w:r>
        <w:rPr>
          <w:noProof/>
        </w:rPr>
        <w:fldChar w:fldCharType="end"/>
      </w:r>
    </w:p>
    <w:p w14:paraId="52233F15" w14:textId="418E5D97" w:rsidR="00725295" w:rsidRDefault="00725295">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_Toc3381497 \h </w:instrText>
      </w:r>
      <w:r>
        <w:rPr>
          <w:noProof/>
        </w:rPr>
      </w:r>
      <w:r>
        <w:rPr>
          <w:noProof/>
        </w:rPr>
        <w:fldChar w:fldCharType="separate"/>
      </w:r>
      <w:r w:rsidR="001C761C">
        <w:rPr>
          <w:noProof/>
        </w:rPr>
        <w:t>16</w:t>
      </w:r>
      <w:r>
        <w:rPr>
          <w:noProof/>
        </w:rPr>
        <w:fldChar w:fldCharType="end"/>
      </w:r>
    </w:p>
    <w:p w14:paraId="2D37DAD4" w14:textId="336E4021" w:rsidR="00725295" w:rsidRDefault="00725295">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_Toc3381498 \h </w:instrText>
      </w:r>
      <w:r>
        <w:rPr>
          <w:noProof/>
        </w:rPr>
      </w:r>
      <w:r>
        <w:rPr>
          <w:noProof/>
        </w:rPr>
        <w:fldChar w:fldCharType="separate"/>
      </w:r>
      <w:r w:rsidR="001C761C">
        <w:rPr>
          <w:noProof/>
        </w:rPr>
        <w:t>16</w:t>
      </w:r>
      <w:r>
        <w:rPr>
          <w:noProof/>
        </w:rPr>
        <w:fldChar w:fldCharType="end"/>
      </w:r>
    </w:p>
    <w:p w14:paraId="52D2B475" w14:textId="17F7FF55" w:rsidR="00725295" w:rsidRDefault="00725295">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_Toc3381499 \h </w:instrText>
      </w:r>
      <w:r>
        <w:rPr>
          <w:noProof/>
        </w:rPr>
      </w:r>
      <w:r>
        <w:rPr>
          <w:noProof/>
        </w:rPr>
        <w:fldChar w:fldCharType="separate"/>
      </w:r>
      <w:r w:rsidR="001C761C">
        <w:rPr>
          <w:noProof/>
        </w:rPr>
        <w:t>16</w:t>
      </w:r>
      <w:r>
        <w:rPr>
          <w:noProof/>
        </w:rPr>
        <w:fldChar w:fldCharType="end"/>
      </w:r>
    </w:p>
    <w:p w14:paraId="7861C43E" w14:textId="67453573" w:rsidR="00725295" w:rsidRDefault="00725295">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_Toc3381500 \h </w:instrText>
      </w:r>
      <w:r>
        <w:rPr>
          <w:noProof/>
        </w:rPr>
      </w:r>
      <w:r>
        <w:rPr>
          <w:noProof/>
        </w:rPr>
        <w:fldChar w:fldCharType="separate"/>
      </w:r>
      <w:r w:rsidR="001C761C">
        <w:rPr>
          <w:noProof/>
        </w:rPr>
        <w:t>17</w:t>
      </w:r>
      <w:r>
        <w:rPr>
          <w:noProof/>
        </w:rPr>
        <w:fldChar w:fldCharType="end"/>
      </w:r>
    </w:p>
    <w:p w14:paraId="59B27343" w14:textId="25C17066" w:rsidR="00725295" w:rsidRDefault="00725295">
      <w:pPr>
        <w:pStyle w:val="TOC3"/>
        <w:tabs>
          <w:tab w:val="right" w:leader="dot" w:pos="8296"/>
        </w:tabs>
        <w:rPr>
          <w:rFonts w:asciiTheme="minorHAnsi" w:eastAsiaTheme="minorEastAsia" w:hAnsiTheme="minorHAnsi" w:cstheme="minorBidi"/>
          <w:noProof/>
          <w:szCs w:val="22"/>
        </w:rPr>
      </w:pPr>
      <w:r>
        <w:rPr>
          <w:noProof/>
        </w:rPr>
        <w:lastRenderedPageBreak/>
        <w:t>4.2.1 风险因素</w:t>
      </w:r>
      <w:r>
        <w:rPr>
          <w:noProof/>
        </w:rPr>
        <w:tab/>
      </w:r>
      <w:r>
        <w:rPr>
          <w:noProof/>
        </w:rPr>
        <w:fldChar w:fldCharType="begin"/>
      </w:r>
      <w:r>
        <w:rPr>
          <w:noProof/>
        </w:rPr>
        <w:instrText xml:space="preserve"> PAGEREF _Toc3381501 \h </w:instrText>
      </w:r>
      <w:r>
        <w:rPr>
          <w:noProof/>
        </w:rPr>
      </w:r>
      <w:r>
        <w:rPr>
          <w:noProof/>
        </w:rPr>
        <w:fldChar w:fldCharType="separate"/>
      </w:r>
      <w:r w:rsidR="001C761C">
        <w:rPr>
          <w:noProof/>
        </w:rPr>
        <w:t>17</w:t>
      </w:r>
      <w:r>
        <w:rPr>
          <w:noProof/>
        </w:rPr>
        <w:fldChar w:fldCharType="end"/>
      </w:r>
    </w:p>
    <w:p w14:paraId="2DFCAB2E" w14:textId="22EB108F" w:rsidR="00725295" w:rsidRDefault="00725295">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_Toc3381502 \h </w:instrText>
      </w:r>
      <w:r>
        <w:rPr>
          <w:noProof/>
        </w:rPr>
      </w:r>
      <w:r>
        <w:rPr>
          <w:noProof/>
        </w:rPr>
        <w:fldChar w:fldCharType="separate"/>
      </w:r>
      <w:r w:rsidR="001C761C">
        <w:rPr>
          <w:noProof/>
        </w:rPr>
        <w:t>17</w:t>
      </w:r>
      <w:r>
        <w:rPr>
          <w:noProof/>
        </w:rPr>
        <w:fldChar w:fldCharType="end"/>
      </w:r>
    </w:p>
    <w:p w14:paraId="513FD562" w14:textId="7071CA1B" w:rsidR="00725295" w:rsidRDefault="00725295">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_Toc3381503 \h </w:instrText>
      </w:r>
      <w:r>
        <w:rPr>
          <w:noProof/>
        </w:rPr>
      </w:r>
      <w:r>
        <w:rPr>
          <w:noProof/>
        </w:rPr>
        <w:fldChar w:fldCharType="separate"/>
      </w:r>
      <w:r w:rsidR="001C761C">
        <w:rPr>
          <w:noProof/>
        </w:rPr>
        <w:t>18</w:t>
      </w:r>
      <w:r>
        <w:rPr>
          <w:noProof/>
        </w:rPr>
        <w:fldChar w:fldCharType="end"/>
      </w:r>
    </w:p>
    <w:p w14:paraId="18E9E9FE" w14:textId="79523CE7" w:rsidR="00725295" w:rsidRDefault="00725295">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_Toc3381504 \h </w:instrText>
      </w:r>
      <w:r>
        <w:rPr>
          <w:noProof/>
        </w:rPr>
      </w:r>
      <w:r>
        <w:rPr>
          <w:noProof/>
        </w:rPr>
        <w:fldChar w:fldCharType="separate"/>
      </w:r>
      <w:r w:rsidR="001C761C">
        <w:rPr>
          <w:noProof/>
        </w:rPr>
        <w:t>18</w:t>
      </w:r>
      <w:r>
        <w:rPr>
          <w:noProof/>
        </w:rPr>
        <w:fldChar w:fldCharType="end"/>
      </w:r>
    </w:p>
    <w:p w14:paraId="60C2837F" w14:textId="480B2074" w:rsidR="00725295" w:rsidRDefault="00725295">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_Toc3381505 \h </w:instrText>
      </w:r>
      <w:r>
        <w:rPr>
          <w:noProof/>
        </w:rPr>
      </w:r>
      <w:r>
        <w:rPr>
          <w:noProof/>
        </w:rPr>
        <w:fldChar w:fldCharType="separate"/>
      </w:r>
      <w:r w:rsidR="001C761C">
        <w:rPr>
          <w:noProof/>
        </w:rPr>
        <w:t>19</w:t>
      </w:r>
      <w:r>
        <w:rPr>
          <w:noProof/>
        </w:rPr>
        <w:fldChar w:fldCharType="end"/>
      </w:r>
    </w:p>
    <w:p w14:paraId="213B9141" w14:textId="1C067E6F" w:rsidR="00725295" w:rsidRDefault="00725295">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_Toc3381506 \h </w:instrText>
      </w:r>
      <w:r>
        <w:rPr>
          <w:noProof/>
        </w:rPr>
      </w:r>
      <w:r>
        <w:rPr>
          <w:noProof/>
        </w:rPr>
        <w:fldChar w:fldCharType="separate"/>
      </w:r>
      <w:r w:rsidR="001C761C">
        <w:rPr>
          <w:noProof/>
        </w:rPr>
        <w:t>19</w:t>
      </w:r>
      <w:r>
        <w:rPr>
          <w:noProof/>
        </w:rPr>
        <w:fldChar w:fldCharType="end"/>
      </w:r>
    </w:p>
    <w:p w14:paraId="05403698" w14:textId="1CE9A0A6" w:rsidR="00725295" w:rsidRDefault="00725295">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_Toc3381507 \h </w:instrText>
      </w:r>
      <w:r>
        <w:rPr>
          <w:noProof/>
        </w:rPr>
      </w:r>
      <w:r>
        <w:rPr>
          <w:noProof/>
        </w:rPr>
        <w:fldChar w:fldCharType="separate"/>
      </w:r>
      <w:r w:rsidR="001C761C">
        <w:rPr>
          <w:noProof/>
        </w:rPr>
        <w:t>20</w:t>
      </w:r>
      <w:r>
        <w:rPr>
          <w:noProof/>
        </w:rPr>
        <w:fldChar w:fldCharType="end"/>
      </w:r>
    </w:p>
    <w:p w14:paraId="0B7B1FBE" w14:textId="1B73C2D9" w:rsidR="00725295" w:rsidRDefault="00725295">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_Toc3381508 \h </w:instrText>
      </w:r>
      <w:r>
        <w:rPr>
          <w:noProof/>
        </w:rPr>
      </w:r>
      <w:r>
        <w:rPr>
          <w:noProof/>
        </w:rPr>
        <w:fldChar w:fldCharType="separate"/>
      </w:r>
      <w:r w:rsidR="001C761C">
        <w:rPr>
          <w:noProof/>
        </w:rPr>
        <w:t>21</w:t>
      </w:r>
      <w:r>
        <w:rPr>
          <w:noProof/>
        </w:rPr>
        <w:fldChar w:fldCharType="end"/>
      </w:r>
    </w:p>
    <w:p w14:paraId="0D7D6A2F" w14:textId="72B41537" w:rsidR="00725295" w:rsidRDefault="00725295">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_Toc3381509 \h </w:instrText>
      </w:r>
      <w:r>
        <w:rPr>
          <w:noProof/>
        </w:rPr>
      </w:r>
      <w:r>
        <w:rPr>
          <w:noProof/>
        </w:rPr>
        <w:fldChar w:fldCharType="separate"/>
      </w:r>
      <w:r w:rsidR="001C761C">
        <w:rPr>
          <w:noProof/>
        </w:rPr>
        <w:t>21</w:t>
      </w:r>
      <w:r>
        <w:rPr>
          <w:noProof/>
        </w:rPr>
        <w:fldChar w:fldCharType="end"/>
      </w:r>
    </w:p>
    <w:p w14:paraId="1F5F3C5B" w14:textId="432A8AC2" w:rsidR="00725295" w:rsidRDefault="00725295">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_Toc3381510 \h </w:instrText>
      </w:r>
      <w:r>
        <w:rPr>
          <w:noProof/>
        </w:rPr>
      </w:r>
      <w:r>
        <w:rPr>
          <w:noProof/>
        </w:rPr>
        <w:fldChar w:fldCharType="separate"/>
      </w:r>
      <w:r w:rsidR="001C761C">
        <w:rPr>
          <w:noProof/>
        </w:rPr>
        <w:t>21</w:t>
      </w:r>
      <w:r>
        <w:rPr>
          <w:noProof/>
        </w:rPr>
        <w:fldChar w:fldCharType="end"/>
      </w:r>
    </w:p>
    <w:p w14:paraId="239B3A24" w14:textId="4BAFC18E" w:rsidR="00725295" w:rsidRDefault="00725295">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_Toc3381511 \h </w:instrText>
      </w:r>
      <w:r>
        <w:rPr>
          <w:noProof/>
        </w:rPr>
      </w:r>
      <w:r>
        <w:rPr>
          <w:noProof/>
        </w:rPr>
        <w:fldChar w:fldCharType="separate"/>
      </w:r>
      <w:r w:rsidR="001C761C">
        <w:rPr>
          <w:noProof/>
        </w:rPr>
        <w:t>22</w:t>
      </w:r>
      <w:r>
        <w:rPr>
          <w:noProof/>
        </w:rPr>
        <w:fldChar w:fldCharType="end"/>
      </w:r>
    </w:p>
    <w:p w14:paraId="15122AB5" w14:textId="34607338" w:rsidR="00725295" w:rsidRDefault="00725295">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_Toc3381512 \h </w:instrText>
      </w:r>
      <w:r>
        <w:rPr>
          <w:noProof/>
        </w:rPr>
      </w:r>
      <w:r>
        <w:rPr>
          <w:noProof/>
        </w:rPr>
        <w:fldChar w:fldCharType="separate"/>
      </w:r>
      <w:r w:rsidR="001C761C">
        <w:rPr>
          <w:noProof/>
        </w:rPr>
        <w:t>23</w:t>
      </w:r>
      <w:r>
        <w:rPr>
          <w:noProof/>
        </w:rPr>
        <w:fldChar w:fldCharType="end"/>
      </w:r>
    </w:p>
    <w:p w14:paraId="74FD1AFF" w14:textId="3A393267" w:rsidR="00725295" w:rsidRDefault="00725295">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_Toc3381513 \h </w:instrText>
      </w:r>
      <w:r>
        <w:rPr>
          <w:noProof/>
        </w:rPr>
      </w:r>
      <w:r>
        <w:rPr>
          <w:noProof/>
        </w:rPr>
        <w:fldChar w:fldCharType="separate"/>
      </w:r>
      <w:r w:rsidR="001C761C">
        <w:rPr>
          <w:noProof/>
        </w:rPr>
        <w:t>24</w:t>
      </w:r>
      <w:r>
        <w:rPr>
          <w:noProof/>
        </w:rPr>
        <w:fldChar w:fldCharType="end"/>
      </w:r>
    </w:p>
    <w:p w14:paraId="04A0BBEE" w14:textId="4C207216"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pgSz w:w="11906" w:h="16838"/>
          <w:pgMar w:top="1440" w:right="1800" w:bottom="1440" w:left="1800" w:header="851" w:footer="992" w:gutter="0"/>
          <w:cols w:space="425"/>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2" w:name="_Toc3381462"/>
      <w:r w:rsidRPr="009F0679">
        <w:rPr>
          <w:rFonts w:hint="eastAsia"/>
        </w:rPr>
        <w:t>绪论</w:t>
      </w:r>
      <w:bookmarkEnd w:id="2"/>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3" w:name="_Toc3381463"/>
      <w:r>
        <w:rPr>
          <w:rFonts w:hint="eastAsia"/>
        </w:rPr>
        <w:t>研究背景及研究意义</w:t>
      </w:r>
      <w:bookmarkEnd w:id="3"/>
    </w:p>
    <w:p w14:paraId="0E2779A4" w14:textId="651C14D9" w:rsidR="008E6C6D" w:rsidRDefault="008E6C6D" w:rsidP="000B2C91">
      <w:pPr>
        <w:pStyle w:val="a1"/>
        <w:spacing w:before="156" w:after="156"/>
        <w:ind w:left="420"/>
      </w:pPr>
      <w:bookmarkStart w:id="4" w:name="_Toc3381464"/>
      <w:r>
        <w:rPr>
          <w:rFonts w:hint="eastAsia"/>
        </w:rPr>
        <w:t>研究背景</w:t>
      </w:r>
      <w:bookmarkEnd w:id="4"/>
    </w:p>
    <w:p w14:paraId="162732DF" w14:textId="5455F640"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w:t>
      </w:r>
      <w:proofErr w:type="gramEnd"/>
      <w:r>
        <w:rPr>
          <w:rFonts w:hint="eastAsia"/>
        </w:rPr>
        <w:t>亿人民币。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日历效应及实证影响因素的研究很少，本文选择这三种股指作为中国股市日历效应的研究对象以期在揭示</w:t>
      </w:r>
      <w:r w:rsidR="00267B53">
        <w:rPr>
          <w:rFonts w:hint="eastAsia"/>
        </w:rPr>
        <w:t>更完整的</w:t>
      </w:r>
      <w:r>
        <w:rPr>
          <w:rFonts w:hint="eastAsia"/>
        </w:rPr>
        <w:t>日历效应</w:t>
      </w:r>
      <w:r w:rsidR="008E37A2">
        <w:rPr>
          <w:rFonts w:hint="eastAsia"/>
        </w:rPr>
        <w:t>及其影响因素</w:t>
      </w:r>
      <w:r>
        <w:rPr>
          <w:rFonts w:hint="eastAsia"/>
        </w:rPr>
        <w:t>的同时为国家完善资本市场建设提供建议。</w:t>
      </w:r>
    </w:p>
    <w:p w14:paraId="096B0BC5" w14:textId="4A1CC447" w:rsidR="008E6C6D" w:rsidRDefault="008E6C6D" w:rsidP="005242E1">
      <w:pPr>
        <w:pStyle w:val="a1"/>
        <w:spacing w:before="156" w:after="156"/>
        <w:ind w:left="420"/>
      </w:pPr>
      <w:bookmarkStart w:id="5" w:name="_Toc3381465"/>
      <w:r>
        <w:rPr>
          <w:rFonts w:hint="eastAsia"/>
        </w:rPr>
        <w:t>研究意义</w:t>
      </w:r>
      <w:bookmarkEnd w:id="5"/>
    </w:p>
    <w:p w14:paraId="303B481C" w14:textId="77777777" w:rsidR="002F46AB" w:rsidRPr="00BC1999" w:rsidRDefault="002F46AB" w:rsidP="002F46AB">
      <w:pPr>
        <w:pStyle w:val="ac"/>
        <w:ind w:firstLine="420"/>
      </w:pPr>
      <w:r w:rsidRPr="00BC1999">
        <w:rPr>
          <w:rFonts w:hint="eastAsia"/>
        </w:rPr>
        <w:t>本文共有两个主要目的，首先是检验中国股市的日历效应，其次是分析这类日历效应的影响因素。日历效应，指资产收益率在某些特殊的时间段内出现异常波动，且这种异常波动能在一段时间内持续存在。</w:t>
      </w:r>
    </w:p>
    <w:p w14:paraId="6D4A2ED7" w14:textId="77777777" w:rsidR="002F46AB" w:rsidRPr="00BC1999" w:rsidRDefault="002F46AB" w:rsidP="002F46AB">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51F3D1AF" w14:textId="77777777" w:rsidR="002F46AB" w:rsidRPr="00BC1999" w:rsidRDefault="002F46AB" w:rsidP="002F46AB">
      <w:pPr>
        <w:pStyle w:val="ac"/>
        <w:ind w:firstLine="420"/>
      </w:pPr>
      <w:r w:rsidRPr="00BC1999">
        <w:rPr>
          <w:rFonts w:hint="eastAsia"/>
        </w:rPr>
        <w:t>现有的大量研究表明，异常波动的规则（规律）不断发生变化，检验中国股市可能存在的日历效应并以此作为中国股市的特征之一是不明智的。</w:t>
      </w:r>
    </w:p>
    <w:p w14:paraId="11C00FDA" w14:textId="77777777" w:rsidR="002F46AB" w:rsidRPr="00BC1999" w:rsidRDefault="002F46AB" w:rsidP="002F46AB">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p>
    <w:p w14:paraId="102CD98B" w14:textId="77777777" w:rsidR="002F46AB" w:rsidRPr="00BC1999" w:rsidRDefault="002F46AB" w:rsidP="002F46AB">
      <w:pPr>
        <w:pStyle w:val="ac"/>
        <w:ind w:firstLine="420"/>
      </w:pPr>
      <w:r w:rsidRPr="00BC1999">
        <w:rPr>
          <w:rFonts w:hint="eastAsia"/>
        </w:rPr>
        <w:t>因此，本文并非</w:t>
      </w:r>
      <w:r>
        <w:rPr>
          <w:rFonts w:hint="eastAsia"/>
        </w:rPr>
        <w:t>要</w:t>
      </w:r>
      <w:r w:rsidRPr="00BC1999">
        <w:rPr>
          <w:rFonts w:hint="eastAsia"/>
        </w:rPr>
        <w:t>寻找中国股市中普遍存在的某些日历效应,将之视为中国股市的特征之一，并以此作为投资策略依据以期获得超额收益、视作某类市场无效率的表现等。</w:t>
      </w:r>
    </w:p>
    <w:p w14:paraId="5773B468" w14:textId="2314DA72" w:rsidR="00BC3C61" w:rsidRPr="002F46AB" w:rsidRDefault="002F46AB" w:rsidP="00F35EB2">
      <w:pPr>
        <w:pStyle w:val="ac"/>
        <w:ind w:firstLine="420"/>
      </w:pP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6" w:name="_Toc3381466"/>
      <w:r>
        <w:rPr>
          <w:rFonts w:hint="eastAsia"/>
        </w:rPr>
        <w:t>研究方法与内容安排</w:t>
      </w:r>
      <w:bookmarkEnd w:id="6"/>
    </w:p>
    <w:p w14:paraId="37886E9A" w14:textId="0A91A828" w:rsidR="00376E9D" w:rsidRDefault="00376E9D" w:rsidP="00376E9D">
      <w:pPr>
        <w:pStyle w:val="a1"/>
        <w:spacing w:before="156" w:after="156"/>
        <w:ind w:left="420"/>
      </w:pPr>
      <w:bookmarkStart w:id="7" w:name="_Toc3381467"/>
      <w:r>
        <w:rPr>
          <w:rFonts w:hint="eastAsia"/>
        </w:rPr>
        <w:t>研究方法</w:t>
      </w:r>
      <w:bookmarkEnd w:id="7"/>
    </w:p>
    <w:p w14:paraId="53949A87" w14:textId="77777777" w:rsidR="00AF0F89" w:rsidRPr="00BC1999" w:rsidRDefault="00AF0F89" w:rsidP="00AF0F89">
      <w:pPr>
        <w:pStyle w:val="ac"/>
        <w:ind w:firstLine="420"/>
      </w:pPr>
      <w:r w:rsidRPr="00BC1999">
        <w:rPr>
          <w:rFonts w:hint="eastAsia"/>
        </w:rPr>
        <w:lastRenderedPageBreak/>
        <w:t>本文所选用的主要数据，即上证指数、深证成指和创业板指5分钟高频数据与</w:t>
      </w:r>
      <w:proofErr w:type="gramStart"/>
      <w:r w:rsidRPr="00BC1999">
        <w:rPr>
          <w:rFonts w:hint="eastAsia"/>
        </w:rPr>
        <w:t>日数据</w:t>
      </w:r>
      <w:proofErr w:type="gramEnd"/>
      <w:r w:rsidRPr="00BC1999">
        <w:rPr>
          <w:rFonts w:hint="eastAsia"/>
        </w:rPr>
        <w:t>均</w:t>
      </w:r>
      <w:proofErr w:type="gramStart"/>
      <w:r w:rsidRPr="00BC1999">
        <w:rPr>
          <w:rFonts w:hint="eastAsia"/>
        </w:rPr>
        <w:t>来自聚宽数</w:t>
      </w:r>
      <w:proofErr w:type="gramEnd"/>
      <w:r w:rsidRPr="00BC1999">
        <w:rPr>
          <w:rFonts w:hint="eastAsia"/>
        </w:rPr>
        <w:t>据（</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w:t>
      </w:r>
      <w:proofErr w:type="gramEnd"/>
      <w:r w:rsidRPr="00BC1999">
        <w:t>据团队专门为金融机构、学术研究和量化研究者们提供的本地量化金融数据服务，可快速查看和计算金融数据，无障碍解决本地、Web、金融终端调用数据的需求。</w:t>
      </w:r>
      <w:r w:rsidRPr="00BC1999">
        <w:rPr>
          <w:rFonts w:hint="eastAsia"/>
        </w:rPr>
        <w:t>本文还将使用的辅助研究信息，包括股指所有成分股、股票行业、股票市值、股票基本面数据等也来自</w:t>
      </w:r>
      <w:proofErr w:type="spellStart"/>
      <w:r w:rsidRPr="00BC1999">
        <w:rPr>
          <w:rFonts w:hint="eastAsia"/>
        </w:rPr>
        <w:t>JQData</w:t>
      </w:r>
      <w:proofErr w:type="spellEnd"/>
      <w:r w:rsidRPr="00BC1999">
        <w:rPr>
          <w:rFonts w:hint="eastAsia"/>
        </w:rPr>
        <w:t>。</w:t>
      </w:r>
    </w:p>
    <w:p w14:paraId="06F91040" w14:textId="77777777" w:rsidR="00AF0F89" w:rsidRPr="00BC1999" w:rsidRDefault="00AF0F89" w:rsidP="00AF0F89">
      <w:pPr>
        <w:pStyle w:val="ac"/>
        <w:ind w:firstLine="420"/>
      </w:pPr>
      <w:r w:rsidRPr="00BC1999">
        <w:rPr>
          <w:rFonts w:hint="eastAsia"/>
        </w:rPr>
        <w:t>本文将基于GARCH模型对中国股市的日历效应进行检验以及后续的影响因素分析，GARCH模型对收益率与其波动率联合建模的方法更加符合资产收益率的真实情况，采用该类方法检验日历效应更为准确。</w:t>
      </w:r>
    </w:p>
    <w:p w14:paraId="1BF12D9C" w14:textId="77777777" w:rsidR="00AF0F89" w:rsidRPr="00BC1999" w:rsidRDefault="00AF0F89" w:rsidP="00AF0F89">
      <w:pPr>
        <w:pStyle w:val="ac"/>
        <w:ind w:firstLine="420"/>
      </w:pPr>
      <w:r w:rsidRPr="00BC1999">
        <w:rPr>
          <w:rFonts w:hint="eastAsia"/>
        </w:rPr>
        <w:t>Engle</w:t>
      </w:r>
      <w:r w:rsidRPr="00BC1999">
        <w:fldChar w:fldCharType="begin"/>
      </w:r>
      <w: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fldChar w:fldCharType="separate"/>
      </w:r>
      <w:r w:rsidRPr="006670D3">
        <w:t>（1982）</w:t>
      </w:r>
      <w:r w:rsidRPr="00BC1999">
        <w:fldChar w:fldCharType="end"/>
      </w:r>
      <w:r w:rsidRPr="00BC1999">
        <w:rPr>
          <w:rFonts w:hint="eastAsia"/>
        </w:rPr>
        <w:t>首次提出了自回归条件异方差模型（A</w:t>
      </w:r>
      <w:r w:rsidRPr="00BC1999">
        <w:t>uto</w:t>
      </w:r>
      <w:r>
        <w:rPr>
          <w:rFonts w:hint="eastAsia"/>
        </w:rPr>
        <w:t>r</w:t>
      </w:r>
      <w:r w:rsidRPr="00BC1999">
        <w:t>egressive Conditional Heteroscedastic</w:t>
      </w:r>
      <w:r w:rsidRPr="00BC1999">
        <w:rPr>
          <w:rFonts w:hint="eastAsia"/>
        </w:rPr>
        <w:t>，ARC</w:t>
      </w:r>
      <w:r w:rsidRPr="00BC1999">
        <w:t>H</w:t>
      </w:r>
      <w:r w:rsidRPr="00BC1999">
        <w:rPr>
          <w:rFonts w:hint="eastAsia"/>
        </w:rPr>
        <w:t>），为波动率建模提供了系统框架，其认为资产收益率的扰动是序列不相关的，但不是独立的，且这类</w:t>
      </w:r>
      <w:proofErr w:type="gramStart"/>
      <w:r w:rsidRPr="00BC1999">
        <w:rPr>
          <w:rFonts w:hint="eastAsia"/>
        </w:rPr>
        <w:t>不</w:t>
      </w:r>
      <w:proofErr w:type="gramEnd"/>
      <w:r w:rsidRPr="00BC1999">
        <w:rPr>
          <w:rFonts w:hint="eastAsia"/>
        </w:rPr>
        <w:t>独立性可以用扰动滞后项的简单二次函数来描述。</w:t>
      </w:r>
    </w:p>
    <w:p w14:paraId="0E6F82A8" w14:textId="77777777" w:rsidR="00AF0F89" w:rsidRPr="00BC1999" w:rsidRDefault="00AF0F89" w:rsidP="00AF0F89">
      <w:pPr>
        <w:pStyle w:val="ac"/>
        <w:ind w:firstLine="420"/>
      </w:pPr>
      <w:proofErr w:type="spellStart"/>
      <w:r w:rsidRPr="00BC1999">
        <w:t>Bollerslev</w:t>
      </w:r>
      <w:proofErr w:type="spellEnd"/>
      <w:r>
        <w:fldChar w:fldCharType="begin"/>
      </w:r>
      <w: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fldChar w:fldCharType="separate"/>
      </w:r>
      <w:r w:rsidRPr="006670D3">
        <w:t>（1986）</w:t>
      </w:r>
      <w:r>
        <w:fldChar w:fldCharType="end"/>
      </w:r>
      <w:r w:rsidRPr="00BC1999">
        <w:rPr>
          <w:rFonts w:hint="eastAsia"/>
        </w:rPr>
        <w:t>为了使ARCH模型拥有更灵活的滞后结构，类似AR过程扩展为ARMA过程将ARCH过程扩展为广义ARCH（</w:t>
      </w:r>
      <w:r w:rsidRPr="00BC1999">
        <w:t>Generalized</w:t>
      </w:r>
      <w:r w:rsidRPr="00BC1999">
        <w:rPr>
          <w:rFonts w:hint="eastAsia"/>
        </w:rPr>
        <w:t>-ARCH，GARCH）过程。</w:t>
      </w:r>
    </w:p>
    <w:p w14:paraId="66F4175C" w14:textId="77777777" w:rsidR="00AF0F89" w:rsidRPr="00BC1999" w:rsidRDefault="00AF0F89" w:rsidP="00AF0F89">
      <w:pPr>
        <w:pStyle w:val="ac"/>
        <w:ind w:firstLine="420"/>
      </w:pPr>
      <w:r w:rsidRPr="00BC1999">
        <w:rPr>
          <w:rFonts w:hint="eastAsia"/>
        </w:rPr>
        <w:t>为了在模型中体现正负收益率的非对称性，Nelson</w:t>
      </w:r>
      <w:r w:rsidRPr="00BC1999">
        <w:fldChar w:fldCharType="begin"/>
      </w:r>
      <w: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fldChar w:fldCharType="separate"/>
      </w:r>
      <w:r w:rsidRPr="006670D3">
        <w:t>（1991）</w:t>
      </w:r>
      <w:r w:rsidRPr="00BC1999">
        <w:fldChar w:fldCharType="end"/>
      </w:r>
      <w:r w:rsidRPr="00BC1999">
        <w:rPr>
          <w:rFonts w:hint="eastAsia"/>
        </w:rPr>
        <w:t>与</w:t>
      </w:r>
      <w:proofErr w:type="spellStart"/>
      <w:r w:rsidRPr="00BC1999">
        <w:t>Glosten</w:t>
      </w:r>
      <w:proofErr w:type="spellEnd"/>
      <w:r w:rsidRPr="00BC1999">
        <w:rPr>
          <w:rFonts w:hint="eastAsia"/>
        </w:rPr>
        <w:t>、</w:t>
      </w:r>
      <w:r w:rsidRPr="00BC1999">
        <w:t>Jagannathan</w:t>
      </w:r>
      <w:r w:rsidRPr="00BC1999">
        <w:rPr>
          <w:rFonts w:hint="eastAsia"/>
        </w:rPr>
        <w:t>和</w:t>
      </w:r>
      <w:r w:rsidRPr="00BC1999">
        <w:t>Runkle</w:t>
      </w:r>
      <w:r>
        <w:fldChar w:fldCharType="begin"/>
      </w:r>
      <w: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fldChar w:fldCharType="separate"/>
      </w:r>
      <w:r w:rsidRPr="006670D3">
        <w:t>（1993）</w:t>
      </w:r>
      <w:r>
        <w:fldChar w:fldCharType="end"/>
      </w:r>
      <w:r w:rsidRPr="00BC1999">
        <w:rPr>
          <w:rFonts w:hint="eastAsia"/>
        </w:rPr>
        <w:t>分别提出了指数GARCH模型（</w:t>
      </w:r>
      <w:r w:rsidRPr="00BC1999">
        <w:t>Exponential</w:t>
      </w:r>
      <w:r w:rsidRPr="00BC1999">
        <w:rPr>
          <w:rFonts w:hint="eastAsia"/>
        </w:rPr>
        <w:t>-ARCH，EGARCH）与门限GARCH模型（</w:t>
      </w:r>
      <w:r w:rsidRPr="00BC1999">
        <w:t>Threshold</w:t>
      </w:r>
      <w:r w:rsidRPr="00BC1999">
        <w:rPr>
          <w:rFonts w:hint="eastAsia"/>
        </w:rPr>
        <w:t>-ARCH，</w:t>
      </w:r>
      <w:r w:rsidRPr="00BC1999">
        <w:t>T</w:t>
      </w:r>
      <w:r w:rsidRPr="00BC1999">
        <w:rPr>
          <w:rFonts w:hint="eastAsia"/>
        </w:rPr>
        <w:t>GARCH）。</w:t>
      </w:r>
    </w:p>
    <w:p w14:paraId="3D310455" w14:textId="77777777" w:rsidR="00AF0F89" w:rsidRPr="00BC1999" w:rsidRDefault="00AF0F89" w:rsidP="00AF0F89">
      <w:pPr>
        <w:pStyle w:val="ac"/>
        <w:ind w:firstLine="420"/>
      </w:pPr>
      <w:r w:rsidRPr="00BC1999">
        <w:t>Hansen</w:t>
      </w:r>
      <w:r w:rsidRPr="00BC1999">
        <w:rPr>
          <w:rFonts w:hint="eastAsia"/>
        </w:rPr>
        <w:t>、</w:t>
      </w:r>
      <w:r w:rsidRPr="00BC1999">
        <w:t>Huang</w:t>
      </w:r>
      <w:r w:rsidRPr="00BC1999">
        <w:rPr>
          <w:rFonts w:hint="eastAsia"/>
        </w:rPr>
        <w:t>和</w:t>
      </w:r>
      <w:proofErr w:type="spellStart"/>
      <w:r w:rsidRPr="00BC1999">
        <w:t>Shek</w:t>
      </w:r>
      <w:proofErr w:type="spellEnd"/>
      <w:r>
        <w:fldChar w:fldCharType="begin"/>
      </w:r>
      <w: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fldChar w:fldCharType="separate"/>
      </w:r>
      <w:r w:rsidRPr="006670D3">
        <w:t>（2011）</w:t>
      </w:r>
      <w:r>
        <w:fldChar w:fldCharType="end"/>
      </w:r>
      <w:r w:rsidRPr="00BC1999">
        <w:rPr>
          <w:rFonts w:hint="eastAsia"/>
        </w:rPr>
        <w:t>提出，在高频金融数据已广泛使用的背景下，现有文献介绍了许多已实现波动率的测量，例如由</w:t>
      </w:r>
      <w:r w:rsidRPr="00BC1999">
        <w:t>Andersen</w:t>
      </w:r>
      <w:r w:rsidRPr="00BC1999">
        <w:rPr>
          <w:rFonts w:hint="eastAsia"/>
        </w:rPr>
        <w:t>和</w:t>
      </w:r>
      <w:proofErr w:type="spellStart"/>
      <w:r w:rsidRPr="00BC1999">
        <w:t>Bollerslev</w:t>
      </w:r>
      <w:proofErr w:type="spellEnd"/>
      <w:r w:rsidRPr="00BC1999">
        <w:rPr>
          <w:rFonts w:hint="eastAsia"/>
        </w:rPr>
        <w:t>提出的已实现波动率</w:t>
      </w:r>
      <w:r>
        <w:fldChar w:fldCharType="begin"/>
      </w:r>
      <w: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fldChar w:fldCharType="separate"/>
      </w:r>
      <w:r w:rsidRPr="006670D3">
        <w:t>（1998）</w:t>
      </w:r>
      <w:r>
        <w:fldChar w:fldCharType="end"/>
      </w:r>
      <w:r w:rsidRPr="00BC1999">
        <w:rPr>
          <w:rFonts w:hint="eastAsia"/>
        </w:rPr>
        <w:t>，这类已实现波动率相比于以往收益率（扰动）平方而言，在对波动率建模以及预测上都更加实用、更具有信息性，并以此建立了已实现GARCH模型（</w:t>
      </w:r>
      <w:r w:rsidRPr="00BC1999">
        <w:t>Realized</w:t>
      </w:r>
      <w:r w:rsidRPr="00BC1999">
        <w:rPr>
          <w:rFonts w:hint="eastAsia"/>
        </w:rPr>
        <w:t>-</w:t>
      </w:r>
      <w:r w:rsidRPr="00BC1999">
        <w:t>G</w:t>
      </w:r>
      <w:r w:rsidRPr="00BC1999">
        <w:rPr>
          <w:rFonts w:hint="eastAsia"/>
        </w:rPr>
        <w:t>ARCH，</w:t>
      </w:r>
      <w:r w:rsidRPr="00BC1999">
        <w:t>R-G</w:t>
      </w:r>
      <w:r w:rsidRPr="00BC1999">
        <w:rPr>
          <w:rFonts w:hint="eastAsia"/>
        </w:rPr>
        <w:t>ARCH）。</w:t>
      </w:r>
    </w:p>
    <w:p w14:paraId="70EE0A77" w14:textId="1C7FF78A" w:rsidR="006E3A05" w:rsidRDefault="00AF0F89" w:rsidP="00AF0F89">
      <w:pPr>
        <w:pStyle w:val="ac"/>
        <w:ind w:firstLine="420"/>
      </w:pPr>
      <w:r w:rsidRPr="00BC1999">
        <w:rPr>
          <w:rFonts w:hint="eastAsia"/>
          <w:szCs w:val="24"/>
        </w:rPr>
        <w:t>结合以上各类GARCH模型的特点，本文将使用R</w:t>
      </w:r>
      <w:r w:rsidRPr="00BC1999">
        <w:rPr>
          <w:szCs w:val="24"/>
        </w:rPr>
        <w:t>-</w:t>
      </w:r>
      <w:r w:rsidRPr="00BC1999">
        <w:rPr>
          <w:rFonts w:hint="eastAsia"/>
          <w:szCs w:val="24"/>
        </w:rPr>
        <w:t>GARCH（</w:t>
      </w:r>
      <w:r w:rsidRPr="00BC1999">
        <w:rPr>
          <w:szCs w:val="24"/>
        </w:rPr>
        <w:t>Realized</w:t>
      </w:r>
      <w:r w:rsidRPr="00BC1999">
        <w:rPr>
          <w:rFonts w:hint="eastAsia"/>
          <w:szCs w:val="24"/>
        </w:rPr>
        <w:t>-</w:t>
      </w:r>
      <w:r w:rsidRPr="00BC1999">
        <w:rPr>
          <w:szCs w:val="24"/>
        </w:rPr>
        <w:t>G</w:t>
      </w:r>
      <w:r w:rsidRPr="00BC1999">
        <w:rPr>
          <w:rFonts w:hint="eastAsia"/>
          <w:szCs w:val="24"/>
        </w:rPr>
        <w:t>ARCH</w:t>
      </w:r>
      <w:r w:rsidRPr="00BC1999">
        <w:rPr>
          <w:szCs w:val="24"/>
        </w:rPr>
        <w:t>）</w:t>
      </w:r>
      <w:r w:rsidRPr="00BC1999">
        <w:rPr>
          <w:rFonts w:hint="eastAsia"/>
          <w:szCs w:val="24"/>
        </w:rPr>
        <w:t>模型来检验中国股市的日历效应：首先，已实现GARCH模型对股指收益率有更好的拟合能力</w:t>
      </w:r>
      <w:r w:rsidRPr="00B50D9D">
        <w:fldChar w:fldCharType="begin"/>
      </w:r>
      <w:r w:rsidRPr="00B50D9D">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fldChar w:fldCharType="separate"/>
      </w:r>
      <w:r w:rsidRPr="00B50D9D">
        <w:t>（Christoffersen et al.，2010）</w:t>
      </w:r>
      <w:r w:rsidRPr="00B50D9D">
        <w:fldChar w:fldCharType="end"/>
      </w:r>
      <w:r w:rsidRPr="00BC1999">
        <w:rPr>
          <w:rFonts w:hint="eastAsia"/>
          <w:szCs w:val="24"/>
        </w:rPr>
        <w:t>；其次，</w:t>
      </w:r>
      <w:r>
        <w:rPr>
          <w:szCs w:val="24"/>
        </w:rPr>
        <w:t>R-</w:t>
      </w:r>
      <w:r w:rsidRPr="00BC1999">
        <w:rPr>
          <w:rFonts w:hint="eastAsia"/>
          <w:szCs w:val="24"/>
        </w:rPr>
        <w:t>GARCH模型</w:t>
      </w:r>
      <w:r>
        <w:rPr>
          <w:rFonts w:hint="eastAsia"/>
          <w:szCs w:val="24"/>
        </w:rPr>
        <w:t>中的测度方程能</w:t>
      </w:r>
      <w:r w:rsidRPr="00BC1999">
        <w:rPr>
          <w:rFonts w:hint="eastAsia"/>
          <w:szCs w:val="24"/>
        </w:rPr>
        <w:t>识别波动的非对称性；再者，使用GARCH模型理论上贴合股票收益率的条件异方差性，且可识别波动率的聚集特点；最后，在对股</w:t>
      </w:r>
      <w:r>
        <w:rPr>
          <w:rFonts w:hint="eastAsia"/>
          <w:szCs w:val="24"/>
        </w:rPr>
        <w:t>指</w:t>
      </w:r>
      <w:r w:rsidRPr="00BC1999">
        <w:rPr>
          <w:rFonts w:hint="eastAsia"/>
          <w:szCs w:val="24"/>
        </w:rPr>
        <w:t>收益率拟合能力更好的模型中加入日历效应后，其检验到的日历效应更具有可信性。</w:t>
      </w:r>
      <w:r>
        <w:rPr>
          <w:rFonts w:hint="eastAsia"/>
          <w:szCs w:val="24"/>
        </w:rPr>
        <w:t>R-GARCH模型的参数估计结果将由R语言编程实现后得到。</w:t>
      </w:r>
      <w:r w:rsidR="006E3A05">
        <w:rPr>
          <w:rFonts w:hint="eastAsia"/>
        </w:rPr>
        <w:t>具体估计的模型为：（</w:t>
      </w:r>
      <w:r w:rsidR="006E3A05">
        <w:t>1）对周内效应与月历效应的检验模型以及（2）对假日效应的检验模型，每个模型内三个方程分别为收益率、波动率与测度方程。</w:t>
      </w:r>
    </w:p>
    <w:p w14:paraId="69C0072B" w14:textId="77777777" w:rsidR="00AB2774" w:rsidRPr="00DD48C0" w:rsidRDefault="001C761C" w:rsidP="00AB2774">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068DD656" w14:textId="52A65858" w:rsidR="00AB2774" w:rsidRPr="00AB2774" w:rsidRDefault="001C761C" w:rsidP="00AB2774">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5FC18E7E" w14:textId="77777777" w:rsidR="000E24D4" w:rsidRPr="00BC1999" w:rsidRDefault="000E24D4" w:rsidP="000E24D4">
      <w:pPr>
        <w:pStyle w:val="ac"/>
        <w:ind w:firstLine="420"/>
      </w:pPr>
      <w:r>
        <w:rPr>
          <w:rFonts w:hint="eastAsia"/>
        </w:rPr>
        <w:t>（1）式中</w:t>
      </w:r>
      <m:oMath>
        <m:r>
          <m:rPr>
            <m:sty m:val="bi"/>
          </m:rPr>
          <w:rPr>
            <w:rFonts w:ascii="Cambria Math" w:hAnsi="Cambria Math"/>
          </w:rPr>
          <m:t>ρ</m:t>
        </m:r>
      </m:oMath>
      <w:r w:rsidRPr="00354739">
        <w:rPr>
          <w:rFonts w:hint="eastAsia"/>
        </w:rPr>
        <w:t>为</w:t>
      </w:r>
      <w:r>
        <w:rPr>
          <w:rFonts w:hint="eastAsia"/>
        </w:rPr>
        <w:t>周内效应与月历效应对应的哑变量参数向量，</w:t>
      </w:r>
      <m:oMath>
        <m:sSub>
          <m:sSubPr>
            <m:ctrlPr>
              <w:rPr>
                <w:rFonts w:ascii="Cambria Math" w:hAnsi="Cambria Math"/>
                <w:i/>
              </w:rPr>
            </m:ctrlPr>
          </m:sSubPr>
          <m:e>
            <m:r>
              <m:rPr>
                <m:sty m:val="bi"/>
              </m:rPr>
              <w:rPr>
                <w:rFonts w:ascii="Cambria Math" w:hAnsi="Cambria Math"/>
              </w:rPr>
              <m:t>d</m:t>
            </m:r>
          </m:e>
          <m:sub>
            <m:r>
              <w:rPr>
                <w:rFonts w:ascii="Cambria Math" w:hAnsi="Cambria Math"/>
              </w:rPr>
              <m:t>t</m:t>
            </m:r>
          </m:sub>
        </m:sSub>
      </m:oMath>
      <w:r>
        <w:rPr>
          <w:rFonts w:hint="eastAsia"/>
        </w:rPr>
        <w:t>为星期内某一天或年内某一月的哑变量向量，（2）式中</w:t>
      </w:r>
      <m:oMath>
        <m:r>
          <w:rPr>
            <w:rFonts w:ascii="Cambria Math" w:hAnsi="Cambria Math"/>
          </w:rPr>
          <m:t>α</m:t>
        </m:r>
      </m:oMath>
      <w:r>
        <w:rPr>
          <w:rFonts w:hint="eastAsia"/>
        </w:rPr>
        <w:t>为假日效应对应的参数标量，</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w:t>
      </w:r>
      <w:r w:rsidRPr="00DA503C">
        <w:rPr>
          <w:rFonts w:ascii="Times New Roman" w:hAnsi="Times New Roman"/>
        </w:rPr>
        <w:t>t</w:t>
      </w:r>
      <w:r>
        <w:rPr>
          <w:rFonts w:hint="eastAsia"/>
        </w:rPr>
        <w:t>交易日与</w:t>
      </w:r>
      <w:r w:rsidRPr="00DA503C">
        <w:rPr>
          <w:rFonts w:ascii="Times New Roman" w:hAnsi="Times New Roman"/>
        </w:rPr>
        <w:t>t-1</w:t>
      </w:r>
      <w:r>
        <w:rPr>
          <w:rFonts w:hint="eastAsia"/>
        </w:rPr>
        <w:t>交易日间相隔的</w:t>
      </w:r>
      <w:proofErr w:type="gramStart"/>
      <w:r>
        <w:rPr>
          <w:rFonts w:hint="eastAsia"/>
        </w:rPr>
        <w:t>非交易</w:t>
      </w:r>
      <w:proofErr w:type="gramEnd"/>
      <w:r>
        <w:rPr>
          <w:rFonts w:hint="eastAsia"/>
        </w:rPr>
        <w:t>日天数。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的具体分布形式将在实证检验后确定最合适的分布。</w:t>
      </w:r>
    </w:p>
    <w:p w14:paraId="7826FFFB" w14:textId="6B4293BD" w:rsidR="00376E9D" w:rsidRDefault="00376E9D" w:rsidP="00376E9D">
      <w:pPr>
        <w:pStyle w:val="a1"/>
        <w:spacing w:before="156" w:after="156"/>
        <w:ind w:left="420"/>
      </w:pPr>
      <w:bookmarkStart w:id="8" w:name="_Toc3381468"/>
      <w:r>
        <w:rPr>
          <w:rFonts w:hint="eastAsia"/>
        </w:rPr>
        <w:t>内容安排</w:t>
      </w:r>
      <w:bookmarkEnd w:id="8"/>
    </w:p>
    <w:p w14:paraId="3DE2CE99" w14:textId="3028B2D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2010年至2019年的5分钟高频收益率数据与日收益率数据作为主要样本，检验其具体的日历效应——周内效应、月内效应与假日效应，并在得到具体的日历效应后按三种方法探究与这类收益率异常波动相关的因素。</w:t>
      </w:r>
    </w:p>
    <w:p w14:paraId="411C8778" w14:textId="104E9B16" w:rsidR="00864D40" w:rsidRDefault="00864D40" w:rsidP="00864D40">
      <w:pPr>
        <w:pStyle w:val="ac"/>
        <w:ind w:firstLine="420"/>
      </w:pPr>
      <w:r>
        <w:rPr>
          <w:rFonts w:hint="eastAsia"/>
        </w:rPr>
        <w:lastRenderedPageBreak/>
        <w:t>本文将所选股指按照一定方式划分为二至三个阶段进行日历效应的检验，并初步预计将全文分为以下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7777777" w:rsidR="00864D40" w:rsidRDefault="00864D40" w:rsidP="00864D40">
      <w:pPr>
        <w:pStyle w:val="ac"/>
        <w:ind w:firstLine="420"/>
      </w:pPr>
      <w:r>
        <w:rPr>
          <w:rFonts w:hint="eastAsia"/>
        </w:rPr>
        <w:t>（</w:t>
      </w:r>
      <w:r>
        <w:t>2）对中国股市可能存在的日历效应进行理论分析，提出对应原假设；</w:t>
      </w:r>
    </w:p>
    <w:p w14:paraId="0064E34E" w14:textId="77777777" w:rsidR="00864D40" w:rsidRDefault="00864D40" w:rsidP="00864D40">
      <w:pPr>
        <w:pStyle w:val="ac"/>
        <w:ind w:firstLine="420"/>
      </w:pPr>
      <w:r>
        <w:rPr>
          <w:rFonts w:hint="eastAsia"/>
        </w:rPr>
        <w:t>（</w:t>
      </w:r>
      <w:r>
        <w:t>3）介绍实证检验日历效应所用到的R-EGARCH模型，并按原假设设计合适模型用以实证检验；</w:t>
      </w:r>
    </w:p>
    <w:p w14:paraId="3970C8D4" w14:textId="77777777" w:rsidR="00864D40" w:rsidRDefault="00864D40" w:rsidP="00864D40">
      <w:pPr>
        <w:pStyle w:val="ac"/>
        <w:ind w:firstLine="420"/>
      </w:pPr>
      <w:r>
        <w:rPr>
          <w:rFonts w:hint="eastAsia"/>
        </w:rPr>
        <w:t>（</w:t>
      </w:r>
      <w:r>
        <w:t>4）</w:t>
      </w:r>
      <w:proofErr w:type="gramStart"/>
      <w:r>
        <w:t>基于第三</w:t>
      </w:r>
      <w:proofErr w:type="gramEnd"/>
      <w:r>
        <w:t>部分的结论，探究与各股指某类日历效应相关的因素：1.将股指成分中具有同一或相近属性的股票分为一组，重新检验该日历效应是否仍然显著；2.对于可能与日历效应相关的时变因素，在R-EGARCH模型中加入该因素与日历效应的交互项；3.统计会对各股指产生重大影响的政策消息、新闻等事件的发布时间，检验其内含的日历效应是否与第三部分得到的结论相同；</w:t>
      </w:r>
    </w:p>
    <w:p w14:paraId="5EE18133" w14:textId="36D54E46" w:rsidR="009D2789" w:rsidRDefault="00864D40" w:rsidP="00864D40">
      <w:pPr>
        <w:pStyle w:val="ac"/>
        <w:ind w:firstLine="420"/>
      </w:pPr>
      <w:r>
        <w:rPr>
          <w:rFonts w:hint="eastAsia"/>
        </w:rPr>
        <w:t>（</w:t>
      </w:r>
      <w:r>
        <w:t>5）根据第四部分的结论进一步解释日历效应这一表面现象之下的逻辑，并为未来减弱这一收益率异常波动现象提出建议。</w:t>
      </w:r>
    </w:p>
    <w:p w14:paraId="09E928E0" w14:textId="13718E10" w:rsidR="00230BF1" w:rsidRDefault="00230BF1" w:rsidP="00EF23C6">
      <w:pPr>
        <w:pStyle w:val="a0"/>
        <w:spacing w:before="156"/>
      </w:pPr>
      <w:bookmarkStart w:id="9" w:name="_Toc3381469"/>
      <w:r>
        <w:rPr>
          <w:rFonts w:hint="eastAsia"/>
        </w:rPr>
        <w:t>文献综述</w:t>
      </w:r>
      <w:bookmarkEnd w:id="9"/>
    </w:p>
    <w:p w14:paraId="3C6946BA" w14:textId="2C00DE21" w:rsidR="00803B67" w:rsidRDefault="00803B67" w:rsidP="00803B67">
      <w:pPr>
        <w:pStyle w:val="a1"/>
        <w:spacing w:before="156" w:after="156"/>
        <w:ind w:left="420"/>
      </w:pPr>
      <w:bookmarkStart w:id="10" w:name="_Toc3381470"/>
      <w:r>
        <w:rPr>
          <w:rFonts w:hint="eastAsia"/>
        </w:rPr>
        <w:t>国外日历效应研究文献综述</w:t>
      </w:r>
      <w:bookmarkEnd w:id="10"/>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w:t>
      </w:r>
      <w:r w:rsidRPr="00BC1999">
        <w:rPr>
          <w:rFonts w:ascii="宋体" w:eastAsia="宋体" w:hAnsi="宋体" w:hint="eastAsia"/>
        </w:rPr>
        <w:lastRenderedPageBreak/>
        <w:t>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1" w:name="_Toc3381471"/>
      <w:r>
        <w:rPr>
          <w:rFonts w:hint="eastAsia"/>
        </w:rPr>
        <w:t>国内日历效应研究文献综述</w:t>
      </w:r>
      <w:bookmarkEnd w:id="11"/>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w:t>
      </w:r>
      <w:proofErr w:type="gramEnd"/>
      <w:r w:rsidRPr="00BC1999">
        <w:rPr>
          <w:rFonts w:hint="eastAsia"/>
        </w:rPr>
        <w:t>无效率。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（奉立城，2000）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w:t>
      </w:r>
      <w:proofErr w:type="gramEnd"/>
      <w:r w:rsidRPr="00BC1999">
        <w:rPr>
          <w:rFonts w:hint="eastAsia"/>
        </w:rPr>
        <w:t>日收益率进行了节日效应的实证研究，发现不同节日的节日效应有显著差异，且并非由其他日历效应引起，并指出可能与受节日影响较大的行业或节日期间的投资者情绪有关。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三因子两种方式对创业板内个</w:t>
      </w:r>
      <w:proofErr w:type="gramStart"/>
      <w:r w:rsidRPr="00BC1999">
        <w:rPr>
          <w:rFonts w:hint="eastAsia"/>
        </w:rPr>
        <w:t>股</w:t>
      </w:r>
      <w:proofErr w:type="gramEnd"/>
      <w:r w:rsidRPr="00BC1999">
        <w:rPr>
          <w:rFonts w:hint="eastAsia"/>
        </w:rPr>
        <w:t>分别检验上述效应后发现，公司规模与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2" w:name="_Toc3381472"/>
      <w:r>
        <w:rPr>
          <w:rFonts w:hint="eastAsia"/>
        </w:rPr>
        <w:t>文献</w:t>
      </w:r>
      <w:r w:rsidR="00CD41E3">
        <w:rPr>
          <w:rFonts w:hint="eastAsia"/>
        </w:rPr>
        <w:t>总结与评价</w:t>
      </w:r>
      <w:bookmarkEnd w:id="12"/>
    </w:p>
    <w:p w14:paraId="50929618" w14:textId="77777777" w:rsidR="000A06F3" w:rsidRPr="00BC1999"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BC1999">
        <w:t>Dangers of data mining: The case of calendar effects in stock returns</w:t>
      </w:r>
      <w:r w:rsidRPr="00BC1999">
        <w:rPr>
          <w:rFonts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2294F2A8" w14:textId="77777777" w:rsidR="000A06F3" w:rsidRPr="00BC1999" w:rsidRDefault="000A06F3" w:rsidP="000A06F3">
      <w:pPr>
        <w:pStyle w:val="ac"/>
        <w:ind w:firstLine="420"/>
      </w:pPr>
      <w:r w:rsidRPr="00BC1999">
        <w:rPr>
          <w:rFonts w:hint="eastAsia"/>
        </w:rPr>
        <w:lastRenderedPageBreak/>
        <w:t>国内对日历效应的研究大多停留在表面，</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对造成日历效应的原因或与其相关的因素探究上大部分都属于主观猜测，这依然是陷入数据挖掘陷进的表现——无论何种结果总可以有相应的主观解释。</w:t>
      </w:r>
    </w:p>
    <w:p w14:paraId="77181F16" w14:textId="472DEC00" w:rsidR="00F67672" w:rsidRDefault="000A06F3" w:rsidP="000A06F3">
      <w:pPr>
        <w:pStyle w:val="ac"/>
        <w:ind w:firstLine="420"/>
      </w:pPr>
      <w:r w:rsidRPr="00BC1999">
        <w:rPr>
          <w:rFonts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Pr>
          <w:rFonts w:hint="eastAsia"/>
        </w:rPr>
        <w:t>总体而言，本文具有改进模型与引入辅助数据的理论意义以及实证检验日历效应影响因素的实际意义。</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4222517A" w:rsidR="00F67672" w:rsidRPr="00D82708" w:rsidRDefault="00FE22F6" w:rsidP="00651E7B">
      <w:pPr>
        <w:pStyle w:val="a"/>
        <w:rPr>
          <w:rFonts w:ascii="宋体" w:eastAsia="宋体" w:hAnsi="宋体"/>
        </w:rPr>
      </w:pPr>
      <w:bookmarkStart w:id="13" w:name="_Toc3381473"/>
      <w:r>
        <w:rPr>
          <w:rFonts w:hint="eastAsia"/>
        </w:rPr>
        <w:t>中国股市中的日历效应</w:t>
      </w:r>
      <w:bookmarkEnd w:id="13"/>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4" w:name="_Toc3381474"/>
      <w:r>
        <w:rPr>
          <w:rFonts w:hint="eastAsia"/>
        </w:rPr>
        <w:t>日历效应</w:t>
      </w:r>
      <w:r w:rsidR="00203626">
        <w:rPr>
          <w:rFonts w:hint="eastAsia"/>
        </w:rPr>
        <w:t>概念</w:t>
      </w:r>
      <w:bookmarkEnd w:id="14"/>
    </w:p>
    <w:p w14:paraId="621C5E8C" w14:textId="5442F50A" w:rsidR="0038342B" w:rsidRDefault="009F0827" w:rsidP="0038342B">
      <w:pPr>
        <w:pStyle w:val="ac"/>
        <w:ind w:firstLine="420"/>
      </w:pPr>
      <w:r>
        <w:rPr>
          <w:rFonts w:hint="eastAsia"/>
        </w:rPr>
        <w:t>日历效应指股票的平均收益在某个特定时段显著高于其他时段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指一段时间内某股票的收益率在周四显著为负。</w:t>
      </w:r>
      <w:r w:rsidR="00501D89">
        <w:rPr>
          <w:rFonts w:hint="eastAsia"/>
        </w:rPr>
        <w:t>自上世纪起国内外诸多学者从传统金融学与行为金融学的角度对日历效应进行解释</w:t>
      </w:r>
      <w:r w:rsidR="00A148AE">
        <w:rPr>
          <w:rFonts w:hint="eastAsia"/>
        </w:rPr>
        <w:t>，并提出窗口粉饰、政策消息发布</w:t>
      </w:r>
      <w:r w:rsidR="00AF26B0">
        <w:rPr>
          <w:rFonts w:hint="eastAsia"/>
        </w:rPr>
        <w:t>、时变风险溢价、信息效应等假说</w:t>
      </w:r>
      <w:r w:rsidR="00BD24C3">
        <w:rPr>
          <w:rFonts w:hint="eastAsia"/>
        </w:rPr>
        <w:t>。日历效应这类市场异象的存在本身</w:t>
      </w:r>
      <w:proofErr w:type="gramStart"/>
      <w:r w:rsidR="00BD24C3">
        <w:rPr>
          <w:rFonts w:hint="eastAsia"/>
        </w:rPr>
        <w:t>就挑战</w:t>
      </w:r>
      <w:proofErr w:type="gramEnd"/>
      <w:r w:rsidR="00BD24C3">
        <w:rPr>
          <w:rFonts w:hint="eastAsia"/>
        </w:rPr>
        <w:t>了传统的有效市场理论</w:t>
      </w:r>
      <w:r w:rsidR="00CD2382">
        <w:rPr>
          <w:rFonts w:hint="eastAsia"/>
        </w:rPr>
        <w:t>，有学者</w:t>
      </w:r>
      <w:r w:rsidR="003D0BDF">
        <w:rPr>
          <w:rFonts w:hint="eastAsia"/>
        </w:rPr>
        <w:t>将之作为</w:t>
      </w:r>
      <w:r w:rsidR="00F910F8">
        <w:rPr>
          <w:rFonts w:hint="eastAsia"/>
        </w:rPr>
        <w:t>无效市场中</w:t>
      </w:r>
      <w:r w:rsidR="003D0BDF">
        <w:rPr>
          <w:rFonts w:hint="eastAsia"/>
        </w:rPr>
        <w:t>寻找超额收益的途径作研究</w:t>
      </w:r>
      <w:r w:rsidR="005B5E9C">
        <w:rPr>
          <w:rFonts w:hint="eastAsia"/>
        </w:rPr>
        <w:t>。本文提取出各类假说中的核心因素并结合现有理论进行分析</w:t>
      </w:r>
      <w:r w:rsidR="008F40E3">
        <w:rPr>
          <w:rFonts w:hint="eastAsia"/>
        </w:rPr>
        <w:t>，再对各因素进行量化后</w:t>
      </w:r>
      <w:r w:rsidR="007C514A">
        <w:rPr>
          <w:rFonts w:hint="eastAsia"/>
        </w:rPr>
        <w:t>以实证分析的形式</w:t>
      </w:r>
      <w:r w:rsidR="009011C9">
        <w:rPr>
          <w:rFonts w:hint="eastAsia"/>
        </w:rPr>
        <w:t>寻找日历效应的成因</w:t>
      </w:r>
      <w:r w:rsidR="00EA2841">
        <w:rPr>
          <w:rFonts w:hint="eastAsia"/>
        </w:rPr>
        <w:t>。</w:t>
      </w:r>
    </w:p>
    <w:p w14:paraId="05D28576" w14:textId="69F29539" w:rsidR="00BB4562" w:rsidRDefault="00BB4562" w:rsidP="00EF23C6">
      <w:pPr>
        <w:pStyle w:val="a0"/>
        <w:spacing w:before="156"/>
      </w:pPr>
      <w:bookmarkStart w:id="15" w:name="_Toc3381475"/>
      <w:r>
        <w:rPr>
          <w:rFonts w:hint="eastAsia"/>
        </w:rPr>
        <w:t>日历效应影响因素</w:t>
      </w:r>
      <w:bookmarkEnd w:id="15"/>
    </w:p>
    <w:p w14:paraId="4276DD78" w14:textId="77777777" w:rsidR="0088724D" w:rsidRDefault="0088724D" w:rsidP="0088724D">
      <w:pPr>
        <w:pStyle w:val="ac"/>
        <w:ind w:firstLine="420"/>
      </w:pPr>
      <w:r>
        <w:rPr>
          <w:rFonts w:hint="eastAsia"/>
        </w:rPr>
        <w:t>与日历效应相关的影响因素较多，现有文献表明该类异常波动来自于金融市场的风险、投资者的情绪与政府出台的金融市场相关政策，本文通过设计股市风险因素、投资者情绪因素与政策因素对上一部分得出的日历效应进行影响因素探究。</w:t>
      </w:r>
    </w:p>
    <w:p w14:paraId="0DA9BEF2" w14:textId="651B1DFB" w:rsidR="00CA5FC4" w:rsidRDefault="0088724D" w:rsidP="0088724D">
      <w:pPr>
        <w:pStyle w:val="ac"/>
        <w:ind w:firstLine="420"/>
      </w:pPr>
      <w:r>
        <w:rPr>
          <w:rFonts w:hint="eastAsia"/>
        </w:rPr>
        <w:t>由于已实现GARCH模型中的收益率数据与已实现波动</w:t>
      </w:r>
      <w:proofErr w:type="gramStart"/>
      <w:r>
        <w:rPr>
          <w:rFonts w:hint="eastAsia"/>
        </w:rPr>
        <w:t>率数据为日度</w:t>
      </w:r>
      <w:proofErr w:type="gramEnd"/>
      <w:r>
        <w:rPr>
          <w:rFonts w:hint="eastAsia"/>
        </w:rPr>
        <w:t>数据，本文选用</w:t>
      </w:r>
      <w:proofErr w:type="gramStart"/>
      <w:r>
        <w:rPr>
          <w:rFonts w:hint="eastAsia"/>
        </w:rPr>
        <w:t>同为日度频</w:t>
      </w:r>
      <w:proofErr w:type="gramEnd"/>
      <w:r>
        <w:rPr>
          <w:rFonts w:hint="eastAsia"/>
        </w:rPr>
        <w:t>率的变量构造三种影响因素。</w:t>
      </w:r>
    </w:p>
    <w:p w14:paraId="440EEFE7" w14:textId="101D430F" w:rsidR="00CA5FC4" w:rsidRDefault="00CA5FC4" w:rsidP="00141A25">
      <w:pPr>
        <w:pStyle w:val="a1"/>
        <w:spacing w:before="156" w:after="156"/>
        <w:ind w:left="420"/>
      </w:pPr>
      <w:bookmarkStart w:id="16" w:name="_Toc3381476"/>
      <w:r>
        <w:rPr>
          <w:rFonts w:hint="eastAsia"/>
        </w:rPr>
        <w:t>风险因素</w:t>
      </w:r>
      <w:bookmarkEnd w:id="16"/>
    </w:p>
    <w:p w14:paraId="73263CED" w14:textId="735E276D" w:rsidR="003C3FED" w:rsidRDefault="003C3FED" w:rsidP="003C3FED">
      <w:pPr>
        <w:ind w:firstLineChars="200" w:firstLine="420"/>
        <w:rPr>
          <w:rFonts w:ascii="宋体" w:eastAsia="宋体" w:hAnsi="宋体"/>
        </w:rPr>
      </w:pPr>
      <w:r>
        <w:rPr>
          <w:rFonts w:ascii="宋体" w:eastAsia="宋体" w:hAnsi="宋体" w:hint="eastAsia"/>
        </w:rPr>
        <w:t>本文所提到的风险因素</w:t>
      </w:r>
      <w:proofErr w:type="gramStart"/>
      <w:r>
        <w:rPr>
          <w:rFonts w:ascii="宋体" w:eastAsia="宋体" w:hAnsi="宋体" w:hint="eastAsia"/>
        </w:rPr>
        <w:t>指较为</w:t>
      </w:r>
      <w:proofErr w:type="gramEnd"/>
      <w:r>
        <w:rPr>
          <w:rFonts w:ascii="宋体" w:eastAsia="宋体" w:hAnsi="宋体" w:hint="eastAsia"/>
        </w:rPr>
        <w:t>狭义的风险，主要的反映方式是</w:t>
      </w:r>
      <w:r w:rsidR="00581111">
        <w:rPr>
          <w:rFonts w:ascii="宋体" w:eastAsia="宋体" w:hAnsi="宋体" w:hint="eastAsia"/>
        </w:rPr>
        <w:t>投资者对目前股市所蕴含风险的一致预期</w:t>
      </w:r>
      <w:r>
        <w:rPr>
          <w:rFonts w:ascii="宋体" w:eastAsia="宋体" w:hAnsi="宋体" w:hint="eastAsia"/>
        </w:rPr>
        <w:t>。</w:t>
      </w:r>
    </w:p>
    <w:p w14:paraId="1CFC3D1F" w14:textId="0FFB7749" w:rsidR="003C3FED" w:rsidRDefault="003C3FED" w:rsidP="003C3FED">
      <w:pPr>
        <w:ind w:firstLineChars="200" w:firstLine="420"/>
        <w:rPr>
          <w:rFonts w:ascii="宋体" w:eastAsia="宋体" w:hAnsi="宋体"/>
        </w:rPr>
      </w:pPr>
      <w:r>
        <w:rPr>
          <w:rFonts w:ascii="宋体" w:eastAsia="宋体" w:hAnsi="宋体" w:hint="eastAsia"/>
        </w:rPr>
        <w:t>投资者会通过近期股市的波动与走势以推断未来股市蕴含的风险，股市风险越大即股市异常波动频繁，说明近期投资者难以形成一致预期。此时投资者主要采取两种策略：依照股市常有的“波动率聚集”现象，投资者预期未来的</w:t>
      </w:r>
      <w:r w:rsidR="00C13135">
        <w:rPr>
          <w:rFonts w:ascii="宋体" w:eastAsia="宋体" w:hAnsi="宋体" w:hint="eastAsia"/>
        </w:rPr>
        <w:t>风险</w:t>
      </w:r>
      <w:r>
        <w:rPr>
          <w:rFonts w:ascii="宋体" w:eastAsia="宋体" w:hAnsi="宋体" w:hint="eastAsia"/>
        </w:rPr>
        <w:t>较大，要求更高的收益溢价补偿，导致股票价格下跌；依照近期短期均衡价格难以确定的情况，</w:t>
      </w:r>
      <w:r w:rsidR="006507D8">
        <w:rPr>
          <w:rFonts w:ascii="宋体" w:eastAsia="宋体" w:hAnsi="宋体" w:hint="eastAsia"/>
        </w:rPr>
        <w:t>以暂时退出股市交易的策略避免这一时期的风险</w:t>
      </w:r>
      <w:r w:rsidR="000326B1">
        <w:rPr>
          <w:rFonts w:ascii="宋体" w:eastAsia="宋体" w:hAnsi="宋体" w:hint="eastAsia"/>
        </w:rPr>
        <w:t>，即</w:t>
      </w:r>
      <w:r w:rsidR="001624B7">
        <w:rPr>
          <w:rFonts w:ascii="宋体" w:eastAsia="宋体" w:hAnsi="宋体" w:hint="eastAsia"/>
        </w:rPr>
        <w:t>通俗而言的“空仓”</w:t>
      </w:r>
      <w:r w:rsidR="004A7B56">
        <w:rPr>
          <w:rFonts w:ascii="宋体" w:eastAsia="宋体" w:hAnsi="宋体" w:hint="eastAsia"/>
        </w:rPr>
        <w:t>策略</w:t>
      </w:r>
      <w:r>
        <w:rPr>
          <w:rFonts w:ascii="宋体" w:eastAsia="宋体" w:hAnsi="宋体" w:hint="eastAsia"/>
        </w:rPr>
        <w:t>。</w:t>
      </w:r>
    </w:p>
    <w:p w14:paraId="13C18CD4" w14:textId="3382F612" w:rsidR="003C3FED" w:rsidRDefault="003C3FED" w:rsidP="003C3FED">
      <w:pPr>
        <w:ind w:firstLineChars="200" w:firstLine="420"/>
        <w:rPr>
          <w:rFonts w:ascii="宋体" w:eastAsia="宋体" w:hAnsi="宋体"/>
        </w:rPr>
      </w:pPr>
      <w:r>
        <w:rPr>
          <w:rFonts w:ascii="宋体" w:eastAsia="宋体" w:hAnsi="宋体" w:hint="eastAsia"/>
        </w:rPr>
        <w:t>两种策略的结果是</w:t>
      </w:r>
      <w:r w:rsidR="004C7205">
        <w:rPr>
          <w:rFonts w:ascii="宋体" w:eastAsia="宋体" w:hAnsi="宋体" w:hint="eastAsia"/>
        </w:rPr>
        <w:t>相近</w:t>
      </w:r>
      <w:r>
        <w:rPr>
          <w:rFonts w:ascii="宋体" w:eastAsia="宋体" w:hAnsi="宋体" w:hint="eastAsia"/>
        </w:rPr>
        <w:t>的，</w:t>
      </w:r>
      <w:r w:rsidR="00A97446">
        <w:rPr>
          <w:rFonts w:ascii="宋体" w:eastAsia="宋体" w:hAnsi="宋体" w:hint="eastAsia"/>
        </w:rPr>
        <w:t>都是对风险</w:t>
      </w:r>
      <w:r w:rsidR="00611331">
        <w:rPr>
          <w:rFonts w:ascii="宋体" w:eastAsia="宋体" w:hAnsi="宋体" w:hint="eastAsia"/>
        </w:rPr>
        <w:t>做</w:t>
      </w:r>
      <w:r w:rsidR="00A97446">
        <w:rPr>
          <w:rFonts w:ascii="宋体" w:eastAsia="宋体" w:hAnsi="宋体" w:hint="eastAsia"/>
        </w:rPr>
        <w:t>出规避反应</w:t>
      </w:r>
      <w:r w:rsidR="00AC0D2E">
        <w:rPr>
          <w:rFonts w:ascii="宋体" w:eastAsia="宋体" w:hAnsi="宋体" w:hint="eastAsia"/>
        </w:rPr>
        <w:t>。</w:t>
      </w:r>
      <w:r w:rsidR="001B640B">
        <w:rPr>
          <w:rFonts w:ascii="宋体" w:eastAsia="宋体" w:hAnsi="宋体" w:hint="eastAsia"/>
        </w:rPr>
        <w:t>其对于股票价格的影响</w:t>
      </w:r>
      <w:r w:rsidR="007536E6">
        <w:rPr>
          <w:rFonts w:ascii="宋体" w:eastAsia="宋体" w:hAnsi="宋体" w:hint="eastAsia"/>
        </w:rPr>
        <w:t>均</w:t>
      </w:r>
      <w:r w:rsidR="001B640B">
        <w:rPr>
          <w:rFonts w:ascii="宋体" w:eastAsia="宋体" w:hAnsi="宋体" w:hint="eastAsia"/>
        </w:rPr>
        <w:t>是负面的</w:t>
      </w:r>
      <w:r w:rsidR="006B1A78">
        <w:rPr>
          <w:rFonts w:ascii="宋体" w:eastAsia="宋体" w:hAnsi="宋体" w:hint="eastAsia"/>
        </w:rPr>
        <w:t>，更大的风险意味着</w:t>
      </w:r>
      <w:r w:rsidR="008372BD">
        <w:rPr>
          <w:rFonts w:ascii="宋体" w:eastAsia="宋体" w:hAnsi="宋体" w:hint="eastAsia"/>
        </w:rPr>
        <w:t>更高的贴现率</w:t>
      </w:r>
      <w:r w:rsidR="00A60688">
        <w:rPr>
          <w:rFonts w:ascii="宋体" w:eastAsia="宋体" w:hAnsi="宋体" w:hint="eastAsia"/>
        </w:rPr>
        <w:t>，结果</w:t>
      </w:r>
      <w:r w:rsidR="00BD0AB8">
        <w:rPr>
          <w:rFonts w:ascii="宋体" w:eastAsia="宋体" w:hAnsi="宋体" w:hint="eastAsia"/>
        </w:rPr>
        <w:t>带来</w:t>
      </w:r>
      <w:r w:rsidR="00A60688">
        <w:rPr>
          <w:rFonts w:ascii="宋体" w:eastAsia="宋体" w:hAnsi="宋体" w:hint="eastAsia"/>
        </w:rPr>
        <w:t>更低的股价</w:t>
      </w:r>
      <w:r>
        <w:rPr>
          <w:rFonts w:ascii="宋体" w:eastAsia="宋体" w:hAnsi="宋体" w:hint="eastAsia"/>
        </w:rPr>
        <w:t>。理论上，预测短期价格是不可能的，不同投资者对近期的同一股价走势会有不同的分析与策略，相互对冲的买卖交易使得股价小幅波动；实际中，近期的</w:t>
      </w:r>
      <w:r w:rsidR="00144A50">
        <w:rPr>
          <w:rFonts w:ascii="宋体" w:eastAsia="宋体" w:hAnsi="宋体" w:hint="eastAsia"/>
        </w:rPr>
        <w:t>股市风险</w:t>
      </w:r>
      <w:r>
        <w:rPr>
          <w:rFonts w:ascii="宋体" w:eastAsia="宋体" w:hAnsi="宋体" w:hint="eastAsia"/>
        </w:rPr>
        <w:t>异于寻常，任何理性投资者都会要求更高的回报以补偿风险，</w:t>
      </w:r>
      <w:r w:rsidR="00C3037D">
        <w:rPr>
          <w:rFonts w:ascii="宋体" w:eastAsia="宋体" w:hAnsi="宋体" w:hint="eastAsia"/>
        </w:rPr>
        <w:t>从原先难以形成一致预期到</w:t>
      </w:r>
      <w:r w:rsidR="00E32732">
        <w:rPr>
          <w:rFonts w:ascii="宋体" w:eastAsia="宋体" w:hAnsi="宋体" w:hint="eastAsia"/>
        </w:rPr>
        <w:t>每个投资者</w:t>
      </w:r>
      <w:r w:rsidR="00327427">
        <w:rPr>
          <w:rFonts w:ascii="宋体" w:eastAsia="宋体" w:hAnsi="宋体" w:hint="eastAsia"/>
        </w:rPr>
        <w:t>逐渐发现</w:t>
      </w:r>
      <w:r w:rsidR="00C3037D">
        <w:rPr>
          <w:rFonts w:ascii="宋体" w:eastAsia="宋体" w:hAnsi="宋体" w:hint="eastAsia"/>
        </w:rPr>
        <w:t>未来</w:t>
      </w:r>
      <w:r w:rsidR="00327427">
        <w:rPr>
          <w:rFonts w:ascii="宋体" w:eastAsia="宋体" w:hAnsi="宋体" w:hint="eastAsia"/>
        </w:rPr>
        <w:t>的</w:t>
      </w:r>
      <w:r w:rsidR="00BE3F13">
        <w:rPr>
          <w:rFonts w:ascii="宋体" w:eastAsia="宋体" w:hAnsi="宋体" w:hint="eastAsia"/>
        </w:rPr>
        <w:t>风险</w:t>
      </w:r>
      <w:r w:rsidR="00BE4D8D">
        <w:rPr>
          <w:rFonts w:ascii="宋体" w:eastAsia="宋体" w:hAnsi="宋体" w:hint="eastAsia"/>
        </w:rPr>
        <w:t>（即重新形成一致预期）</w:t>
      </w:r>
      <w:r>
        <w:rPr>
          <w:rFonts w:ascii="宋体" w:eastAsia="宋体" w:hAnsi="宋体" w:hint="eastAsia"/>
        </w:rPr>
        <w:t>。</w:t>
      </w:r>
    </w:p>
    <w:p w14:paraId="5B226763" w14:textId="17960E7D" w:rsidR="009E4298" w:rsidRDefault="009E4298" w:rsidP="003C3FED">
      <w:pPr>
        <w:ind w:firstLineChars="200" w:firstLine="420"/>
        <w:rPr>
          <w:rFonts w:ascii="宋体" w:eastAsia="宋体" w:hAnsi="宋体"/>
        </w:rPr>
      </w:pPr>
      <w:r>
        <w:rPr>
          <w:rFonts w:ascii="宋体" w:eastAsia="宋体" w:hAnsi="宋体" w:hint="eastAsia"/>
        </w:rPr>
        <w:t>风险因素对日历效应的影响</w:t>
      </w:r>
      <w:r w:rsidR="002939B2">
        <w:rPr>
          <w:rFonts w:ascii="宋体" w:eastAsia="宋体" w:hAnsi="宋体" w:hint="eastAsia"/>
        </w:rPr>
        <w:t>与风险因素对收益率的影响</w:t>
      </w:r>
      <w:r w:rsidR="00D07DDB">
        <w:rPr>
          <w:rFonts w:ascii="宋体" w:eastAsia="宋体" w:hAnsi="宋体" w:hint="eastAsia"/>
        </w:rPr>
        <w:t>相近</w:t>
      </w:r>
      <w:r w:rsidR="00434B52">
        <w:rPr>
          <w:rFonts w:ascii="宋体" w:eastAsia="宋体" w:hAnsi="宋体" w:hint="eastAsia"/>
        </w:rPr>
        <w:t>。股市中，</w:t>
      </w:r>
      <w:r w:rsidR="004D11D6">
        <w:rPr>
          <w:rFonts w:ascii="宋体" w:eastAsia="宋体" w:hAnsi="宋体" w:hint="eastAsia"/>
        </w:rPr>
        <w:t>风险与收益的关系</w:t>
      </w:r>
      <w:r w:rsidR="00E40CBB">
        <w:rPr>
          <w:rFonts w:ascii="宋体" w:eastAsia="宋体" w:hAnsi="宋体" w:hint="eastAsia"/>
        </w:rPr>
        <w:t>十分明确</w:t>
      </w:r>
      <w:r w:rsidR="00F12D92">
        <w:rPr>
          <w:rFonts w:ascii="宋体" w:eastAsia="宋体" w:hAnsi="宋体" w:hint="eastAsia"/>
        </w:rPr>
        <w:t>——</w:t>
      </w:r>
      <w:r w:rsidR="00BD1382">
        <w:rPr>
          <w:rFonts w:ascii="宋体" w:eastAsia="宋体" w:hAnsi="宋体" w:hint="eastAsia"/>
        </w:rPr>
        <w:t>高风险要求高收益</w:t>
      </w:r>
      <w:r w:rsidR="00E73D09">
        <w:rPr>
          <w:rFonts w:ascii="宋体" w:eastAsia="宋体" w:hAnsi="宋体" w:hint="eastAsia"/>
        </w:rPr>
        <w:t>，基本面不发生巨大变化的情况下未来目标股价不变</w:t>
      </w:r>
      <w:r w:rsidR="004917CF">
        <w:rPr>
          <w:rFonts w:ascii="宋体" w:eastAsia="宋体" w:hAnsi="宋体" w:hint="eastAsia"/>
        </w:rPr>
        <w:t>，要求收益率上升带来当期股价下跌</w:t>
      </w:r>
      <w:r w:rsidR="00B15453">
        <w:rPr>
          <w:rFonts w:ascii="宋体" w:eastAsia="宋体" w:hAnsi="宋体" w:hint="eastAsia"/>
        </w:rPr>
        <w:t>。这一极度明朗的关系对研究日历效应很有帮助，</w:t>
      </w:r>
      <w:r w:rsidR="000C2DCE">
        <w:rPr>
          <w:rFonts w:ascii="宋体" w:eastAsia="宋体" w:hAnsi="宋体" w:hint="eastAsia"/>
        </w:rPr>
        <w:t>因为</w:t>
      </w:r>
      <w:r w:rsidR="00D40F49">
        <w:rPr>
          <w:rFonts w:ascii="宋体" w:eastAsia="宋体" w:hAnsi="宋体" w:hint="eastAsia"/>
        </w:rPr>
        <w:t>日历效应是一种收益率异象</w:t>
      </w:r>
      <w:r w:rsidR="00B44A19">
        <w:rPr>
          <w:rFonts w:ascii="宋体" w:eastAsia="宋体" w:hAnsi="宋体" w:hint="eastAsia"/>
        </w:rPr>
        <w:t>，本文利用这一关系推导与猜测</w:t>
      </w:r>
      <w:r w:rsidR="00116CE9">
        <w:rPr>
          <w:rFonts w:ascii="宋体" w:eastAsia="宋体" w:hAnsi="宋体" w:hint="eastAsia"/>
        </w:rPr>
        <w:t>风险因素与日历效应之间的</w:t>
      </w:r>
      <w:r w:rsidR="00F80785">
        <w:rPr>
          <w:rFonts w:ascii="宋体" w:eastAsia="宋体" w:hAnsi="宋体" w:hint="eastAsia"/>
        </w:rPr>
        <w:t>关系</w:t>
      </w:r>
      <w:r w:rsidR="00F335F7">
        <w:rPr>
          <w:rFonts w:ascii="宋体" w:eastAsia="宋体" w:hAnsi="宋体" w:hint="eastAsia"/>
        </w:rPr>
        <w:t>。</w:t>
      </w:r>
    </w:p>
    <w:p w14:paraId="03446E32" w14:textId="753E8962" w:rsidR="003C3FED" w:rsidRDefault="00626460" w:rsidP="003C3FED">
      <w:pPr>
        <w:ind w:firstLineChars="200" w:firstLine="420"/>
        <w:rPr>
          <w:rFonts w:ascii="宋体" w:eastAsia="宋体" w:hAnsi="宋体"/>
        </w:rPr>
      </w:pPr>
      <w:r>
        <w:rPr>
          <w:rFonts w:ascii="宋体" w:eastAsia="宋体" w:hAnsi="宋体" w:hint="eastAsia"/>
        </w:rPr>
        <w:t>结合以上对风险因素的解释以及风险因素与日历效应的关系，</w:t>
      </w:r>
      <w:r w:rsidR="00256502">
        <w:rPr>
          <w:rFonts w:ascii="宋体" w:eastAsia="宋体" w:hAnsi="宋体" w:hint="eastAsia"/>
        </w:rPr>
        <w:t>该因素与日历效应的关系是：</w:t>
      </w:r>
      <w:r w:rsidR="00554CC1">
        <w:rPr>
          <w:rFonts w:ascii="宋体" w:eastAsia="宋体" w:hAnsi="宋体" w:hint="eastAsia"/>
        </w:rPr>
        <w:t>风险因素</w:t>
      </w:r>
      <w:r w:rsidR="00241294">
        <w:rPr>
          <w:rFonts w:ascii="宋体" w:eastAsia="宋体" w:hAnsi="宋体" w:hint="eastAsia"/>
        </w:rPr>
        <w:t>会</w:t>
      </w:r>
      <w:r w:rsidR="00C45C6F">
        <w:rPr>
          <w:rFonts w:ascii="宋体" w:eastAsia="宋体" w:hAnsi="宋体" w:hint="eastAsia"/>
        </w:rPr>
        <w:t>减弱正日历效应并加强负日历效应</w:t>
      </w:r>
      <w:r w:rsidR="00253EB5">
        <w:rPr>
          <w:rFonts w:ascii="宋体" w:eastAsia="宋体" w:hAnsi="宋体" w:hint="eastAsia"/>
        </w:rPr>
        <w:t>。</w:t>
      </w:r>
    </w:p>
    <w:p w14:paraId="45DEB2B4" w14:textId="31BAEA20" w:rsidR="00E56716" w:rsidRDefault="003C3FED" w:rsidP="003C3FED">
      <w:pPr>
        <w:ind w:firstLineChars="200" w:firstLine="420"/>
        <w:rPr>
          <w:rFonts w:ascii="宋体" w:eastAsia="宋体" w:hAnsi="宋体"/>
        </w:rPr>
      </w:pPr>
      <w:r>
        <w:rPr>
          <w:rFonts w:ascii="宋体" w:eastAsia="宋体" w:hAnsi="宋体" w:hint="eastAsia"/>
        </w:rPr>
        <w:lastRenderedPageBreak/>
        <w:t>某一时期某一日历效应属于市场异象，通常很细微且随着时间推移会消失</w:t>
      </w:r>
      <w:r w:rsidR="00BC19A6">
        <w:rPr>
          <w:rFonts w:ascii="宋体" w:eastAsia="宋体" w:hAnsi="宋体" w:hint="eastAsia"/>
        </w:rPr>
        <w:t>又再次出现</w:t>
      </w:r>
      <w:r w:rsidR="004B5323">
        <w:rPr>
          <w:rFonts w:ascii="宋体" w:eastAsia="宋体" w:hAnsi="宋体" w:hint="eastAsia"/>
        </w:rPr>
        <w:t>，股市风险的变化与此十分类似</w:t>
      </w:r>
      <w:r w:rsidR="0030145F">
        <w:rPr>
          <w:rFonts w:ascii="宋体" w:eastAsia="宋体" w:hAnsi="宋体" w:hint="eastAsia"/>
        </w:rPr>
        <w:t>。</w:t>
      </w:r>
      <w:r>
        <w:rPr>
          <w:rFonts w:ascii="宋体" w:eastAsia="宋体" w:hAnsi="宋体" w:hint="eastAsia"/>
        </w:rPr>
        <w:t>股市风险</w:t>
      </w:r>
      <w:r w:rsidR="00416302">
        <w:rPr>
          <w:rFonts w:ascii="宋体" w:eastAsia="宋体" w:hAnsi="宋体" w:hint="eastAsia"/>
        </w:rPr>
        <w:t>因素</w:t>
      </w:r>
      <w:r>
        <w:rPr>
          <w:rFonts w:ascii="宋体" w:eastAsia="宋体" w:hAnsi="宋体" w:hint="eastAsia"/>
        </w:rPr>
        <w:t>有助于消除此类市场异象</w:t>
      </w:r>
      <w:r w:rsidR="00517EF5">
        <w:rPr>
          <w:rFonts w:ascii="宋体" w:eastAsia="宋体" w:hAnsi="宋体" w:hint="eastAsia"/>
        </w:rPr>
        <w:t>中的一部分，即正日历效应</w:t>
      </w:r>
      <w:r w:rsidR="00547011">
        <w:rPr>
          <w:rFonts w:ascii="宋体" w:eastAsia="宋体" w:hAnsi="宋体" w:hint="eastAsia"/>
        </w:rPr>
        <w:t>：</w:t>
      </w:r>
      <w:r>
        <w:rPr>
          <w:rFonts w:ascii="宋体" w:eastAsia="宋体" w:hAnsi="宋体" w:hint="eastAsia"/>
        </w:rPr>
        <w:t>若近期较大的股市风险伴随当期难以被观测的</w:t>
      </w:r>
      <w:r w:rsidR="00186ED1">
        <w:rPr>
          <w:rFonts w:ascii="宋体" w:eastAsia="宋体" w:hAnsi="宋体" w:hint="eastAsia"/>
        </w:rPr>
        <w:t>正</w:t>
      </w:r>
      <w:r>
        <w:rPr>
          <w:rFonts w:ascii="宋体" w:eastAsia="宋体" w:hAnsi="宋体" w:hint="eastAsia"/>
        </w:rPr>
        <w:t>日历效应，则</w:t>
      </w:r>
      <w:r w:rsidR="005E0C85">
        <w:rPr>
          <w:rFonts w:ascii="宋体" w:eastAsia="宋体" w:hAnsi="宋体" w:hint="eastAsia"/>
        </w:rPr>
        <w:t>起初</w:t>
      </w:r>
      <w:r>
        <w:rPr>
          <w:rFonts w:ascii="宋体" w:eastAsia="宋体" w:hAnsi="宋体" w:hint="eastAsia"/>
        </w:rPr>
        <w:t>投资者保守但各不相同的策略如同对冲策略般减小股市波动，</w:t>
      </w:r>
      <w:r w:rsidR="001B0E37">
        <w:rPr>
          <w:rFonts w:ascii="宋体" w:eastAsia="宋体" w:hAnsi="宋体" w:hint="eastAsia"/>
        </w:rPr>
        <w:t>当市场风险被普遍认识到</w:t>
      </w:r>
      <w:r w:rsidR="00CB1554">
        <w:rPr>
          <w:rFonts w:ascii="宋体" w:eastAsia="宋体" w:hAnsi="宋体" w:hint="eastAsia"/>
        </w:rPr>
        <w:t>后</w:t>
      </w:r>
      <w:r w:rsidR="008E227D">
        <w:rPr>
          <w:rFonts w:ascii="宋体" w:eastAsia="宋体" w:hAnsi="宋体" w:hint="eastAsia"/>
        </w:rPr>
        <w:t>，投资者的投资策略又逐渐趋于一致</w:t>
      </w:r>
      <w:r w:rsidR="002152C7">
        <w:rPr>
          <w:rFonts w:ascii="宋体" w:eastAsia="宋体" w:hAnsi="宋体" w:hint="eastAsia"/>
        </w:rPr>
        <w:t>，风险规避的投资者在面对较大风险时的一致策略将</w:t>
      </w:r>
      <w:r w:rsidR="0048481E">
        <w:rPr>
          <w:rFonts w:ascii="宋体" w:eastAsia="宋体" w:hAnsi="宋体" w:hint="eastAsia"/>
        </w:rPr>
        <w:t>压低股价</w:t>
      </w:r>
      <w:r w:rsidR="00DB6C27">
        <w:rPr>
          <w:rFonts w:ascii="宋体" w:eastAsia="宋体" w:hAnsi="宋体" w:hint="eastAsia"/>
        </w:rPr>
        <w:t>从而消除了正日历效应</w:t>
      </w:r>
      <w:r w:rsidR="00547011">
        <w:rPr>
          <w:rFonts w:ascii="宋体" w:eastAsia="宋体" w:hAnsi="宋体" w:hint="eastAsia"/>
        </w:rPr>
        <w:t>。</w:t>
      </w:r>
    </w:p>
    <w:p w14:paraId="73442B15" w14:textId="3A068B7A" w:rsidR="003C3FED" w:rsidRDefault="00274F2B" w:rsidP="003C3FED">
      <w:pPr>
        <w:ind w:firstLineChars="200" w:firstLine="420"/>
        <w:rPr>
          <w:rFonts w:ascii="宋体" w:eastAsia="宋体" w:hAnsi="宋体"/>
        </w:rPr>
      </w:pPr>
      <w:r>
        <w:rPr>
          <w:rFonts w:ascii="宋体" w:eastAsia="宋体" w:hAnsi="宋体" w:hint="eastAsia"/>
        </w:rPr>
        <w:t>若此时市场处于负日历效应时段</w:t>
      </w:r>
      <w:r w:rsidR="005F3950">
        <w:rPr>
          <w:rFonts w:ascii="宋体" w:eastAsia="宋体" w:hAnsi="宋体" w:hint="eastAsia"/>
        </w:rPr>
        <w:t>，</w:t>
      </w:r>
      <w:r w:rsidR="008C0398">
        <w:rPr>
          <w:rFonts w:ascii="宋体" w:eastAsia="宋体" w:hAnsi="宋体" w:hint="eastAsia"/>
        </w:rPr>
        <w:t>同样的</w:t>
      </w:r>
      <w:r w:rsidR="009808CD">
        <w:rPr>
          <w:rFonts w:ascii="宋体" w:eastAsia="宋体" w:hAnsi="宋体" w:hint="eastAsia"/>
        </w:rPr>
        <w:t>作用机制会加强原有的负日历效应</w:t>
      </w:r>
      <w:r w:rsidR="00F03477">
        <w:rPr>
          <w:rFonts w:ascii="宋体" w:eastAsia="宋体" w:hAnsi="宋体" w:hint="eastAsia"/>
        </w:rPr>
        <w:t>，这样的现象在熊市中更为常见</w:t>
      </w:r>
      <w:r w:rsidR="001278E3">
        <w:rPr>
          <w:rFonts w:ascii="宋体" w:eastAsia="宋体" w:hAnsi="宋体" w:hint="eastAsia"/>
        </w:rPr>
        <w:t>——</w:t>
      </w:r>
      <w:r w:rsidR="000C3E9C">
        <w:rPr>
          <w:rFonts w:ascii="宋体" w:eastAsia="宋体" w:hAnsi="宋体" w:hint="eastAsia"/>
        </w:rPr>
        <w:t>不断扩大的负日历效应则会导致</w:t>
      </w:r>
      <w:r w:rsidR="001278E3">
        <w:rPr>
          <w:rFonts w:ascii="宋体" w:eastAsia="宋体" w:hAnsi="宋体" w:hint="eastAsia"/>
        </w:rPr>
        <w:t>巨大风险中</w:t>
      </w:r>
      <w:r w:rsidR="00AD5648">
        <w:rPr>
          <w:rFonts w:ascii="宋体" w:eastAsia="宋体" w:hAnsi="宋体" w:hint="eastAsia"/>
        </w:rPr>
        <w:t>股市</w:t>
      </w:r>
      <w:r w:rsidR="001278E3">
        <w:rPr>
          <w:rFonts w:ascii="宋体" w:eastAsia="宋体" w:hAnsi="宋体" w:hint="eastAsia"/>
        </w:rPr>
        <w:t>的“超跌”现象</w:t>
      </w:r>
      <w:r w:rsidR="001D28F9">
        <w:rPr>
          <w:rFonts w:ascii="宋体" w:eastAsia="宋体" w:hAnsi="宋体" w:hint="eastAsia"/>
        </w:rPr>
        <w:t>出现</w:t>
      </w:r>
      <w:r w:rsidR="00547011">
        <w:rPr>
          <w:rFonts w:ascii="宋体" w:eastAsia="宋体" w:hAnsi="宋体" w:hint="eastAsia"/>
        </w:rPr>
        <w:t>。</w:t>
      </w:r>
    </w:p>
    <w:p w14:paraId="742BDD00" w14:textId="129055D6" w:rsidR="000A19C4" w:rsidRPr="00B45B72" w:rsidRDefault="00CF1CEF" w:rsidP="00B45B72">
      <w:pPr>
        <w:ind w:firstLineChars="200" w:firstLine="420"/>
        <w:rPr>
          <w:rFonts w:ascii="宋体" w:eastAsia="宋体" w:hAnsi="宋体"/>
        </w:rPr>
      </w:pPr>
      <w:r>
        <w:rPr>
          <w:rFonts w:ascii="宋体" w:eastAsia="宋体" w:hAnsi="宋体" w:hint="eastAsia"/>
        </w:rPr>
        <w:t>风险因素</w:t>
      </w:r>
      <w:r w:rsidR="004B77F1">
        <w:rPr>
          <w:rFonts w:ascii="宋体" w:eastAsia="宋体" w:hAnsi="宋体" w:hint="eastAsia"/>
        </w:rPr>
        <w:t>来自于</w:t>
      </w:r>
      <w:r>
        <w:rPr>
          <w:rFonts w:ascii="宋体" w:eastAsia="宋体" w:hAnsi="宋体" w:hint="eastAsia"/>
        </w:rPr>
        <w:t>市场本身的运作机制</w:t>
      </w:r>
      <w:r w:rsidR="008F1E48">
        <w:rPr>
          <w:rFonts w:ascii="宋体" w:eastAsia="宋体" w:hAnsi="宋体" w:hint="eastAsia"/>
        </w:rPr>
        <w:t>，</w:t>
      </w:r>
      <w:r w:rsidR="00BD466D">
        <w:rPr>
          <w:rFonts w:ascii="宋体" w:eastAsia="宋体" w:hAnsi="宋体" w:hint="eastAsia"/>
        </w:rPr>
        <w:t>它与日历效应这一市场异象之间的关系相比于其他因素可能更大</w:t>
      </w:r>
      <w:r w:rsidR="00833E59">
        <w:rPr>
          <w:rFonts w:ascii="宋体" w:eastAsia="宋体" w:hAnsi="宋体" w:hint="eastAsia"/>
        </w:rPr>
        <w:t>，若这一因素与日历效应显著相关</w:t>
      </w:r>
      <w:r w:rsidR="00B721C0">
        <w:rPr>
          <w:rFonts w:ascii="宋体" w:eastAsia="宋体" w:hAnsi="宋体" w:hint="eastAsia"/>
        </w:rPr>
        <w:t>则从侧面证明</w:t>
      </w:r>
      <w:r w:rsidR="00BD4433">
        <w:rPr>
          <w:rFonts w:ascii="宋体" w:eastAsia="宋体" w:hAnsi="宋体" w:hint="eastAsia"/>
        </w:rPr>
        <w:t>这样的市场异象几乎不会被消除</w:t>
      </w:r>
      <w:r w:rsidR="00503FEE">
        <w:rPr>
          <w:rFonts w:ascii="宋体" w:eastAsia="宋体" w:hAnsi="宋体" w:hint="eastAsia"/>
        </w:rPr>
        <w:t>，只会不断改变形式出现</w:t>
      </w:r>
      <w:r w:rsidR="00047CB9">
        <w:rPr>
          <w:rFonts w:ascii="宋体" w:eastAsia="宋体" w:hAnsi="宋体" w:hint="eastAsia"/>
        </w:rPr>
        <w:t>于股市中</w:t>
      </w:r>
      <w:r w:rsidR="00115A95">
        <w:rPr>
          <w:rFonts w:ascii="宋体" w:eastAsia="宋体" w:hAnsi="宋体" w:hint="eastAsia"/>
        </w:rPr>
        <w:t>。</w:t>
      </w:r>
      <w:r w:rsidR="00244957">
        <w:rPr>
          <w:rFonts w:ascii="宋体" w:eastAsia="宋体" w:hAnsi="宋体" w:hint="eastAsia"/>
        </w:rPr>
        <w:t>此外，</w:t>
      </w:r>
      <w:r w:rsidR="00103310">
        <w:rPr>
          <w:rFonts w:ascii="宋体" w:eastAsia="宋体" w:hAnsi="宋体" w:hint="eastAsia"/>
        </w:rPr>
        <w:t>本文这一部分的</w:t>
      </w:r>
      <w:r w:rsidR="004B77F1">
        <w:rPr>
          <w:rFonts w:ascii="宋体" w:eastAsia="宋体" w:hAnsi="宋体" w:hint="eastAsia"/>
        </w:rPr>
        <w:t>理论分析</w:t>
      </w:r>
      <w:r w:rsidR="00103310">
        <w:rPr>
          <w:rFonts w:ascii="宋体" w:eastAsia="宋体" w:hAnsi="宋体" w:hint="eastAsia"/>
        </w:rPr>
        <w:t>将参与其中的</w:t>
      </w:r>
      <w:r w:rsidR="004B77F1">
        <w:rPr>
          <w:rFonts w:ascii="宋体" w:eastAsia="宋体" w:hAnsi="宋体" w:hint="eastAsia"/>
        </w:rPr>
        <w:t>投资者作为</w:t>
      </w:r>
      <w:r w:rsidR="003C30FF">
        <w:rPr>
          <w:rFonts w:ascii="宋体" w:eastAsia="宋体" w:hAnsi="宋体" w:hint="eastAsia"/>
        </w:rPr>
        <w:t>理性</w:t>
      </w:r>
      <w:r w:rsidR="00EF6404">
        <w:rPr>
          <w:rFonts w:ascii="宋体" w:eastAsia="宋体" w:hAnsi="宋体" w:hint="eastAsia"/>
        </w:rPr>
        <w:t>人处理</w:t>
      </w:r>
      <w:r w:rsidR="009F145E">
        <w:rPr>
          <w:rFonts w:ascii="宋体" w:eastAsia="宋体" w:hAnsi="宋体" w:hint="eastAsia"/>
        </w:rPr>
        <w:t>，不影响资本市场的运作</w:t>
      </w:r>
      <w:r w:rsidR="00105EC6">
        <w:rPr>
          <w:rFonts w:ascii="宋体" w:eastAsia="宋体" w:hAnsi="宋体" w:hint="eastAsia"/>
        </w:rPr>
        <w:t>。</w:t>
      </w:r>
    </w:p>
    <w:p w14:paraId="2B26E19B" w14:textId="6F0F8163" w:rsidR="00CA5FC4" w:rsidRDefault="00016873" w:rsidP="000A19C4">
      <w:pPr>
        <w:pStyle w:val="a1"/>
        <w:spacing w:before="156" w:after="156"/>
      </w:pPr>
      <w:bookmarkStart w:id="17" w:name="_Toc3381477"/>
      <w:r w:rsidRPr="00016873">
        <w:rPr>
          <w:rFonts w:hint="eastAsia"/>
        </w:rPr>
        <w:t>投资者</w:t>
      </w:r>
      <w:r w:rsidR="00CA5FC4">
        <w:rPr>
          <w:rFonts w:hint="eastAsia"/>
        </w:rPr>
        <w:t>情绪因素</w:t>
      </w:r>
      <w:bookmarkEnd w:id="17"/>
    </w:p>
    <w:p w14:paraId="700F525C" w14:textId="77777777" w:rsidR="004612CE" w:rsidRDefault="004612CE" w:rsidP="004612CE">
      <w:pPr>
        <w:pStyle w:val="ac"/>
        <w:ind w:firstLine="420"/>
      </w:pPr>
      <w:r>
        <w:rPr>
          <w:rFonts w:hint="eastAsia"/>
        </w:rPr>
        <w:t>股票价格变化是众多投资者交易的结果。投资的主体无论是机构投资者还是个体投资者，投资的方法无论是通过主观猜测、数据分析还是量化策略，都受到投资者情绪的影响，狂热的投资情绪更容易造成股市的异常波动，一致性的狂热导致小概率事件发生。过于乐观或悲观的情绪造成显著为</w:t>
      </w:r>
      <w:proofErr w:type="gramStart"/>
      <w:r>
        <w:rPr>
          <w:rFonts w:hint="eastAsia"/>
        </w:rPr>
        <w:t>正或者</w:t>
      </w:r>
      <w:proofErr w:type="gramEnd"/>
      <w:r>
        <w:rPr>
          <w:rFonts w:hint="eastAsia"/>
        </w:rPr>
        <w:t>显著为负的收益率，在一定巧合下会造成如日历效应一类的市场异象。</w:t>
      </w:r>
    </w:p>
    <w:p w14:paraId="16D786AA" w14:textId="3D85A42C" w:rsidR="004612CE" w:rsidRDefault="004612CE" w:rsidP="004612CE">
      <w:pPr>
        <w:pStyle w:val="ac"/>
        <w:ind w:firstLine="420"/>
      </w:pPr>
      <w:r>
        <w:rPr>
          <w:rFonts w:hint="eastAsia"/>
        </w:rPr>
        <w:t>对股价的理论研究很多，诸多理论对投资者</w:t>
      </w:r>
      <w:r w:rsidR="002F289F">
        <w:rPr>
          <w:rFonts w:hint="eastAsia"/>
        </w:rPr>
        <w:t>做</w:t>
      </w:r>
      <w:r>
        <w:rPr>
          <w:rFonts w:hint="eastAsia"/>
        </w:rPr>
        <w:t>出绝对理性假设，而股市泡沫的出现与破灭是投资者理性假设的反面证据，这类因素的存在让看似无懈可击的理论模型在实际预测与解释时仅能发挥极小的作用。</w:t>
      </w:r>
    </w:p>
    <w:p w14:paraId="6555E951" w14:textId="77777777" w:rsidR="004612CE" w:rsidRDefault="004612CE" w:rsidP="004612CE">
      <w:pPr>
        <w:pStyle w:val="ac"/>
        <w:ind w:firstLine="420"/>
      </w:pPr>
      <w:r>
        <w:rPr>
          <w:rFonts w:hint="eastAsia"/>
        </w:rPr>
        <w:t>产生投资情绪的主要原因可归纳为两种。</w:t>
      </w:r>
    </w:p>
    <w:p w14:paraId="2BE4C628" w14:textId="3A7654E1" w:rsidR="004612CE" w:rsidRPr="00413624" w:rsidRDefault="004612CE" w:rsidP="004612CE">
      <w:pPr>
        <w:pStyle w:val="ac"/>
        <w:ind w:firstLine="420"/>
      </w:pPr>
      <w:r w:rsidRPr="00413624">
        <w:rPr>
          <w:rFonts w:hint="eastAsia"/>
        </w:rPr>
        <w:t>第一</w:t>
      </w:r>
      <w:r>
        <w:rPr>
          <w:rFonts w:hint="eastAsia"/>
        </w:rPr>
        <w:t>，</w:t>
      </w:r>
      <w:r w:rsidRPr="00413624">
        <w:rPr>
          <w:rFonts w:hint="eastAsia"/>
        </w:rPr>
        <w:t>情绪扩散效应或羊群效应。投资者将他人行为作为参照是得出最优决策的一部分，参照对象可以是众多数人或者权威人士。对于他人</w:t>
      </w:r>
      <w:proofErr w:type="gramStart"/>
      <w:r w:rsidRPr="00413624">
        <w:rPr>
          <w:rFonts w:hint="eastAsia"/>
        </w:rPr>
        <w:t>而言某</w:t>
      </w:r>
      <w:proofErr w:type="gramEnd"/>
      <w:r w:rsidRPr="00413624">
        <w:rPr>
          <w:rFonts w:hint="eastAsia"/>
        </w:rPr>
        <w:t>一策略是正确甚至最优的，</w:t>
      </w:r>
      <w:r w:rsidR="00226D19">
        <w:rPr>
          <w:rFonts w:hint="eastAsia"/>
        </w:rPr>
        <w:t>但对于投资者本人而言</w:t>
      </w:r>
      <w:r w:rsidR="004E12E8">
        <w:rPr>
          <w:rFonts w:hint="eastAsia"/>
        </w:rPr>
        <w:t>却不一定</w:t>
      </w:r>
      <w:r w:rsidR="001B6E2E">
        <w:rPr>
          <w:rFonts w:hint="eastAsia"/>
        </w:rPr>
        <w:t>，</w:t>
      </w:r>
      <w:r w:rsidRPr="00413624">
        <w:rPr>
          <w:rFonts w:hint="eastAsia"/>
        </w:rPr>
        <w:t>当这一策略不同于投资者自身策略时，面对多数人与权威人士产生自我否定并选择较为保守的从众策略。</w:t>
      </w:r>
    </w:p>
    <w:p w14:paraId="0292BE6F" w14:textId="198ABBFF" w:rsidR="004612CE" w:rsidRDefault="004612CE" w:rsidP="004612CE">
      <w:pPr>
        <w:pStyle w:val="ac"/>
        <w:ind w:firstLine="420"/>
      </w:pPr>
      <w:r w:rsidRPr="002A4C09">
        <w:rPr>
          <w:rFonts w:hint="eastAsia"/>
        </w:rPr>
        <w:t>第二，</w:t>
      </w:r>
      <w:r>
        <w:rPr>
          <w:rFonts w:hint="eastAsia"/>
        </w:rPr>
        <w:t>投资者自身的心理、认知偏差。投资者具有不同的投资风格，但各类不同的投资风格中</w:t>
      </w:r>
      <w:proofErr w:type="gramStart"/>
      <w:r>
        <w:rPr>
          <w:rFonts w:hint="eastAsia"/>
        </w:rPr>
        <w:t>必存在</w:t>
      </w:r>
      <w:proofErr w:type="gramEnd"/>
      <w:r>
        <w:rPr>
          <w:rFonts w:hint="eastAsia"/>
        </w:rPr>
        <w:t>一种共性——</w:t>
      </w:r>
      <w:r w:rsidR="00783E8D">
        <w:rPr>
          <w:rFonts w:hint="eastAsia"/>
        </w:rPr>
        <w:t>所有股市投资者均是贪婪与逐利的，</w:t>
      </w:r>
      <w:r>
        <w:rPr>
          <w:rFonts w:hint="eastAsia"/>
        </w:rPr>
        <w:t>这是样本选择偏差的结果，针对投资者这一</w:t>
      </w:r>
      <w:r w:rsidR="00783E8D">
        <w:rPr>
          <w:rFonts w:hint="eastAsia"/>
        </w:rPr>
        <w:t>类</w:t>
      </w:r>
      <w:r>
        <w:rPr>
          <w:rFonts w:hint="eastAsia"/>
        </w:rPr>
        <w:t>样本</w:t>
      </w:r>
      <w:r w:rsidR="00E244AC">
        <w:rPr>
          <w:rFonts w:hint="eastAsia"/>
        </w:rPr>
        <w:t>，仅具有此类特性的人群样本会参与到股票交易中</w:t>
      </w:r>
      <w:r>
        <w:rPr>
          <w:rFonts w:hint="eastAsia"/>
        </w:rPr>
        <w:t>。投资者的投资情绪高涨在股市上涨与下跌时均会出现——追涨或者抄底以谋取更多的收益。</w:t>
      </w:r>
    </w:p>
    <w:p w14:paraId="52A049E4" w14:textId="77777777" w:rsidR="004612CE" w:rsidRDefault="004612CE" w:rsidP="004612CE">
      <w:pPr>
        <w:pStyle w:val="ac"/>
        <w:ind w:firstLine="420"/>
      </w:pPr>
      <w:r>
        <w:rPr>
          <w:rFonts w:hint="eastAsia"/>
        </w:rPr>
        <w:t>由于投资者情绪因素的存在，当股市处于某一日历效应中时，易传导的情绪因素会放大正日历效应并减弱负日历效应。来自于投资者的过度自信与损失厌恶在股市异常波动时期更容易逐级传递并放大，过度接受正面因素、拒绝负面因素导致股价长期偏离（高）于均衡价值。</w:t>
      </w:r>
    </w:p>
    <w:p w14:paraId="6A3F980E" w14:textId="77777777" w:rsidR="004612CE" w:rsidRDefault="004612CE" w:rsidP="004612CE">
      <w:pPr>
        <w:pStyle w:val="ac"/>
        <w:ind w:firstLine="420"/>
      </w:pPr>
      <w:r>
        <w:rPr>
          <w:rFonts w:hint="eastAsia"/>
        </w:rPr>
        <w:t>我国资本市场尚未完善，数量多且金融素养较低的个体投资者众多，在该类投资者中更容易出现集体情绪化表现，该因素对日历效应的影响效果应相较于其他国家更为显著，近几年</w:t>
      </w:r>
      <w:r w:rsidRPr="00C16A8E">
        <w:rPr>
          <w:rFonts w:hint="eastAsia"/>
        </w:rPr>
        <w:t>在我国市场中</w:t>
      </w:r>
      <w:r>
        <w:rPr>
          <w:rFonts w:hint="eastAsia"/>
        </w:rPr>
        <w:t>就出现了极端情绪带来的暴涨与暴跌。</w:t>
      </w:r>
    </w:p>
    <w:p w14:paraId="042F8A2A" w14:textId="46E879BB" w:rsidR="004612CE" w:rsidRDefault="004612CE" w:rsidP="004612CE">
      <w:pPr>
        <w:pStyle w:val="ac"/>
        <w:ind w:firstLine="420"/>
      </w:pPr>
      <w:r>
        <w:rPr>
          <w:rFonts w:hint="eastAsia"/>
        </w:rPr>
        <w:t>基于以上分析，本文的观点是投资者的</w:t>
      </w:r>
      <w:r w:rsidRPr="00C16A8E">
        <w:rPr>
          <w:rFonts w:hint="eastAsia"/>
        </w:rPr>
        <w:t>乐观情绪影响高于悲观情绪</w:t>
      </w:r>
      <w:r>
        <w:rPr>
          <w:rFonts w:hint="eastAsia"/>
        </w:rPr>
        <w:t>，</w:t>
      </w:r>
      <w:r w:rsidR="003306BD">
        <w:rPr>
          <w:rFonts w:hint="eastAsia"/>
        </w:rPr>
        <w:t>乐观情绪在更多时候发挥作用，</w:t>
      </w:r>
      <w:r>
        <w:rPr>
          <w:rFonts w:hint="eastAsia"/>
        </w:rPr>
        <w:t>投资者情绪因素对正日历效应有显著的加强效果，投资者情绪因素</w:t>
      </w:r>
      <w:proofErr w:type="gramStart"/>
      <w:r>
        <w:rPr>
          <w:rFonts w:hint="eastAsia"/>
        </w:rPr>
        <w:t>对负日效应</w:t>
      </w:r>
      <w:proofErr w:type="gramEnd"/>
      <w:r>
        <w:rPr>
          <w:rFonts w:hint="eastAsia"/>
        </w:rPr>
        <w:t>的</w:t>
      </w:r>
      <w:r w:rsidR="00E279E0">
        <w:rPr>
          <w:rFonts w:hint="eastAsia"/>
        </w:rPr>
        <w:t>有显著的减弱效果</w:t>
      </w:r>
      <w:r>
        <w:rPr>
          <w:rFonts w:hint="eastAsia"/>
        </w:rPr>
        <w:t>。</w:t>
      </w:r>
    </w:p>
    <w:p w14:paraId="1862B231" w14:textId="12328E3A" w:rsidR="009162C2" w:rsidRDefault="009162C2" w:rsidP="00141A25">
      <w:pPr>
        <w:pStyle w:val="a1"/>
        <w:spacing w:before="156" w:after="156"/>
        <w:ind w:left="420"/>
      </w:pPr>
      <w:bookmarkStart w:id="18" w:name="_Toc3381478"/>
      <w:r>
        <w:rPr>
          <w:rFonts w:hint="eastAsia"/>
        </w:rPr>
        <w:t>政策因素</w:t>
      </w:r>
      <w:bookmarkEnd w:id="18"/>
    </w:p>
    <w:p w14:paraId="4F20F90F" w14:textId="77777777" w:rsidR="00981C39" w:rsidRDefault="00981C39" w:rsidP="00981C39">
      <w:pPr>
        <w:pStyle w:val="ac"/>
        <w:ind w:firstLine="420"/>
      </w:pPr>
      <w:r>
        <w:rPr>
          <w:rFonts w:hint="eastAsia"/>
        </w:rPr>
        <w:lastRenderedPageBreak/>
        <w:t>任何国家出台有关金融市场政策时均会对股市造成难以预料的波动，即便政府的出发点都是维护金融市场稳定。中国政府的相关政策对中国股市影响之深远非其他国家可比，无论是投资者或是理论学者均认为政府对股市的干预过多，从股票发行上市的审核流程到二级市场交易。中国股市是政府进行宏观调控的中间目标，政府作为市场监督者也在执行市场操纵行为，其目的是为了金融市场健康、稳定、可持续地发展，但会导致市场难以形成一致的政策预期，表现为股市涨幅或跌幅过大、波动剧烈。</w:t>
      </w:r>
    </w:p>
    <w:p w14:paraId="3EFF9794" w14:textId="77777777" w:rsidR="00981C39" w:rsidRDefault="00981C39" w:rsidP="00981C39">
      <w:pPr>
        <w:pStyle w:val="ac"/>
        <w:ind w:firstLine="420"/>
      </w:pPr>
      <w:r>
        <w:rPr>
          <w:rFonts w:hint="eastAsia"/>
        </w:rPr>
        <w:t>导致中国出现政策市的原因是多方面的。第一，在中国股市不断发展的过程中，政府出于维护资本市场稳定、有效率的目的陆续出台新政策与新方法，叠加个体投资者容易出现“羊群效应”以获得超额收益的因素，削弱了资本市场价格决定机制的作用，对政策效果影响的测度困难直接导致均衡价格变得难以确定，加剧了股市的动荡；第二，遍布于多个行业的许多大型上市公司股权由国有资本控制，政府相当于同时扮演监管者与投资者，在该类约束下所做决策未必是有利于上市公司所有者权益的最优解；第三，政府的最终目标是多元化的，保护投资者利益是众多目标中的一个，与其余目标之间存在矛盾与取舍是必然的，这同样导致如股市过于悲观时的救市政策与股市过热时的抑制政策。</w:t>
      </w:r>
    </w:p>
    <w:p w14:paraId="31E4011B" w14:textId="07E2F826" w:rsidR="0013119A" w:rsidRDefault="00981C39" w:rsidP="00981C39">
      <w:pPr>
        <w:pStyle w:val="ac"/>
        <w:ind w:firstLine="420"/>
      </w:pPr>
      <w:r>
        <w:rPr>
          <w:rFonts w:hint="eastAsia"/>
        </w:rPr>
        <w:t>政策市会加剧股市的异常波动。第一，政策本身作为一种信息具有形成时间长、信息含量大、</w:t>
      </w:r>
      <w:proofErr w:type="gramStart"/>
      <w:r>
        <w:rPr>
          <w:rFonts w:hint="eastAsia"/>
        </w:rPr>
        <w:t>未发布</w:t>
      </w:r>
      <w:proofErr w:type="gramEnd"/>
      <w:r>
        <w:rPr>
          <w:rFonts w:hint="eastAsia"/>
        </w:rPr>
        <w:t>时知悉人数多等特点，不可避免地造成了信息不对称现象，为操纵市场提供途径；第二，缺乏公平的资本市场直接导致投资者投机心理过盛，股市的资金配置功能与信息传递作用被减弱，不足以作为经济活动的晴雨表；第三，政府的政策干预理论上具有减小系统性风险的功能，这是由于不同投资者对政策的理解存在差别，由此带来不同的投资策略相互之间形成对冲，中国较低的个体投资者金融素养与机构投资者的报团取暖行为均是“羊群行为”的表现，两者对一个政策的解读具有趋同性，增大了资本市场的系统性风险。</w:t>
      </w:r>
    </w:p>
    <w:p w14:paraId="29566E4C" w14:textId="41152AEB" w:rsidR="00366DB8" w:rsidRDefault="00366DB8" w:rsidP="00981C39">
      <w:pPr>
        <w:pStyle w:val="ac"/>
        <w:ind w:firstLine="420"/>
      </w:pPr>
      <w:r>
        <w:rPr>
          <w:rFonts w:hint="eastAsia"/>
        </w:rPr>
        <w:t>结合以上分析，本文认为政策因素会</w:t>
      </w:r>
      <w:r w:rsidR="000E6705">
        <w:rPr>
          <w:rFonts w:hint="eastAsia"/>
        </w:rPr>
        <w:t>加强所有日历效应</w:t>
      </w:r>
      <w:r w:rsidR="00D55024">
        <w:rPr>
          <w:rFonts w:hint="eastAsia"/>
        </w:rPr>
        <w:t>，即加强该类市场异象</w:t>
      </w:r>
      <w:r w:rsidR="000E6705">
        <w:rPr>
          <w:rFonts w:hint="eastAsia"/>
        </w:rPr>
        <w:t>。</w:t>
      </w:r>
    </w:p>
    <w:p w14:paraId="733D9371" w14:textId="182D122E" w:rsidR="0013119A" w:rsidRDefault="00E72CD9" w:rsidP="00EF23C6">
      <w:pPr>
        <w:pStyle w:val="a0"/>
        <w:spacing w:before="156"/>
      </w:pPr>
      <w:bookmarkStart w:id="19" w:name="_Toc3381479"/>
      <w:r>
        <w:rPr>
          <w:rFonts w:hint="eastAsia"/>
        </w:rPr>
        <w:t>本章总结</w:t>
      </w:r>
      <w:bookmarkEnd w:id="19"/>
    </w:p>
    <w:p w14:paraId="1117E3C0" w14:textId="2B3DC6F7" w:rsidR="00B24B9C" w:rsidRDefault="006810BE" w:rsidP="000451F5">
      <w:pPr>
        <w:pStyle w:val="ac"/>
        <w:ind w:firstLine="420"/>
      </w:pPr>
      <w:r>
        <w:rPr>
          <w:rFonts w:hint="eastAsia"/>
        </w:rPr>
        <w:t>产生、影响、消除日历效应的因素是众多且复杂的，</w:t>
      </w:r>
      <w:r w:rsidR="00EA2A75">
        <w:rPr>
          <w:rFonts w:hint="eastAsia"/>
        </w:rPr>
        <w:t>本文</w:t>
      </w:r>
      <w:r w:rsidR="00476322">
        <w:rPr>
          <w:rFonts w:hint="eastAsia"/>
        </w:rPr>
        <w:t>结合其他学者的分析结论</w:t>
      </w:r>
      <w:r w:rsidR="0002430B">
        <w:rPr>
          <w:rFonts w:hint="eastAsia"/>
        </w:rPr>
        <w:t>将</w:t>
      </w:r>
      <w:r w:rsidR="00D17D8C">
        <w:rPr>
          <w:rFonts w:hint="eastAsia"/>
        </w:rPr>
        <w:t>之</w:t>
      </w:r>
      <w:r w:rsidR="0002430B">
        <w:rPr>
          <w:rFonts w:hint="eastAsia"/>
        </w:rPr>
        <w:t>总结为破坏市场有效性的</w:t>
      </w:r>
      <w:r w:rsidR="001105DB">
        <w:rPr>
          <w:rFonts w:hint="eastAsia"/>
        </w:rPr>
        <w:t>三类因素</w:t>
      </w:r>
      <w:r w:rsidR="00751CEF">
        <w:rPr>
          <w:rFonts w:hint="eastAsia"/>
        </w:rPr>
        <w:t>，并叙述了各因素与日历效应的关系</w:t>
      </w:r>
      <w:r w:rsidR="008004A5">
        <w:rPr>
          <w:rFonts w:hint="eastAsia"/>
        </w:rPr>
        <w:t>。</w:t>
      </w:r>
    </w:p>
    <w:p w14:paraId="74A13163" w14:textId="2FF169E8" w:rsidR="000451F5" w:rsidRDefault="008D636D" w:rsidP="000451F5">
      <w:pPr>
        <w:pStyle w:val="ac"/>
        <w:ind w:firstLine="420"/>
      </w:pPr>
      <w:r>
        <w:rPr>
          <w:rFonts w:hint="eastAsia"/>
        </w:rPr>
        <w:t>风险因素</w:t>
      </w:r>
      <w:r w:rsidR="00D60703">
        <w:rPr>
          <w:rFonts w:hint="eastAsia"/>
        </w:rPr>
        <w:t>会减弱</w:t>
      </w:r>
      <w:r w:rsidR="009B35F8">
        <w:rPr>
          <w:rFonts w:hint="eastAsia"/>
        </w:rPr>
        <w:t>正日历效应并加强</w:t>
      </w:r>
      <w:r w:rsidR="000F138A">
        <w:rPr>
          <w:rFonts w:hint="eastAsia"/>
        </w:rPr>
        <w:t>负日历效应</w:t>
      </w:r>
      <w:r w:rsidR="00C167EB">
        <w:rPr>
          <w:rFonts w:hint="eastAsia"/>
        </w:rPr>
        <w:t>，</w:t>
      </w:r>
      <w:r w:rsidR="00330871">
        <w:rPr>
          <w:rFonts w:hint="eastAsia"/>
        </w:rPr>
        <w:t>这一因素</w:t>
      </w:r>
      <w:r w:rsidR="00D307AD">
        <w:rPr>
          <w:rFonts w:hint="eastAsia"/>
        </w:rPr>
        <w:t>极可能</w:t>
      </w:r>
      <w:r w:rsidR="00330871">
        <w:rPr>
          <w:rFonts w:hint="eastAsia"/>
        </w:rPr>
        <w:t>日历效应的原因</w:t>
      </w:r>
      <w:r w:rsidR="009475B0">
        <w:rPr>
          <w:rFonts w:hint="eastAsia"/>
        </w:rPr>
        <w:t>。</w:t>
      </w:r>
      <w:r w:rsidR="00DD22BE">
        <w:rPr>
          <w:rFonts w:hint="eastAsia"/>
        </w:rPr>
        <w:t>倘若</w:t>
      </w:r>
      <w:r w:rsidR="003B6084">
        <w:rPr>
          <w:rFonts w:hint="eastAsia"/>
        </w:rPr>
        <w:t>风险因素能够影响日历效应，</w:t>
      </w:r>
      <w:r w:rsidR="00E05B71">
        <w:rPr>
          <w:rFonts w:hint="eastAsia"/>
        </w:rPr>
        <w:t>该因素的存在</w:t>
      </w:r>
      <w:r w:rsidR="007F5569">
        <w:rPr>
          <w:rFonts w:hint="eastAsia"/>
        </w:rPr>
        <w:t>会</w:t>
      </w:r>
      <w:r w:rsidR="00E05B71">
        <w:rPr>
          <w:rFonts w:hint="eastAsia"/>
        </w:rPr>
        <w:t>导致任何时间日历效应都无法被消除</w:t>
      </w:r>
      <w:r w:rsidR="00743063">
        <w:rPr>
          <w:rFonts w:hint="eastAsia"/>
        </w:rPr>
        <w:t>。</w:t>
      </w:r>
      <w:r w:rsidR="008020B2">
        <w:rPr>
          <w:rFonts w:hint="eastAsia"/>
        </w:rPr>
        <w:t>风险因素</w:t>
      </w:r>
      <w:r w:rsidR="00477A36">
        <w:rPr>
          <w:rFonts w:hint="eastAsia"/>
        </w:rPr>
        <w:t>来自于市场本身</w:t>
      </w:r>
      <w:r w:rsidR="00FD2AB7">
        <w:rPr>
          <w:rFonts w:hint="eastAsia"/>
        </w:rPr>
        <w:t>。</w:t>
      </w:r>
    </w:p>
    <w:p w14:paraId="79FA526D" w14:textId="43A41424" w:rsidR="00253A73" w:rsidRDefault="006E63D7" w:rsidP="000451F5">
      <w:pPr>
        <w:pStyle w:val="ac"/>
        <w:ind w:firstLine="420"/>
      </w:pPr>
      <w:r>
        <w:rPr>
          <w:rFonts w:hint="eastAsia"/>
        </w:rPr>
        <w:t>投资者情绪因素</w:t>
      </w:r>
      <w:r w:rsidR="00A54229">
        <w:rPr>
          <w:rFonts w:hint="eastAsia"/>
        </w:rPr>
        <w:t>会加强正日历效应并减弱负日历效应</w:t>
      </w:r>
      <w:r w:rsidR="00DF042B">
        <w:rPr>
          <w:rFonts w:hint="eastAsia"/>
        </w:rPr>
        <w:t>，</w:t>
      </w:r>
      <w:r w:rsidR="00D27155">
        <w:rPr>
          <w:rFonts w:hint="eastAsia"/>
        </w:rPr>
        <w:t>是引发正日效应的原因</w:t>
      </w:r>
      <w:r w:rsidR="007F7AB2">
        <w:rPr>
          <w:rFonts w:hint="eastAsia"/>
        </w:rPr>
        <w:t>之一</w:t>
      </w:r>
      <w:r w:rsidR="001C4BBB">
        <w:rPr>
          <w:rFonts w:hint="eastAsia"/>
        </w:rPr>
        <w:t>。</w:t>
      </w:r>
      <w:r w:rsidR="00D04777">
        <w:rPr>
          <w:rFonts w:hint="eastAsia"/>
        </w:rPr>
        <w:t>投资者的从众行为与思想传染在社交网络极为发达的今天变得更加普遍</w:t>
      </w:r>
      <w:r w:rsidR="00DD159A">
        <w:rPr>
          <w:rFonts w:hint="eastAsia"/>
        </w:rPr>
        <w:t>，在非极度异常的股市中（如股灾时段）</w:t>
      </w:r>
      <w:r w:rsidR="00F6021A">
        <w:rPr>
          <w:rFonts w:hint="eastAsia"/>
        </w:rPr>
        <w:t>，投资者情绪</w:t>
      </w:r>
      <w:r w:rsidR="00081691">
        <w:rPr>
          <w:rFonts w:hint="eastAsia"/>
        </w:rPr>
        <w:t>因素的存在是数学模型难以预测股市的重要原因之一</w:t>
      </w:r>
      <w:r w:rsidR="00C3246E">
        <w:rPr>
          <w:rFonts w:hint="eastAsia"/>
        </w:rPr>
        <w:t>，人的情绪结果具有非精确性与易变性</w:t>
      </w:r>
      <w:r w:rsidR="00D36758">
        <w:rPr>
          <w:rFonts w:hint="eastAsia"/>
        </w:rPr>
        <w:t>特征</w:t>
      </w:r>
      <w:r w:rsidR="00D06864">
        <w:rPr>
          <w:rFonts w:hint="eastAsia"/>
        </w:rPr>
        <w:t>。</w:t>
      </w:r>
    </w:p>
    <w:p w14:paraId="08A58A0A" w14:textId="50A310F7" w:rsidR="00D06864" w:rsidRDefault="00D06864" w:rsidP="000451F5">
      <w:pPr>
        <w:pStyle w:val="ac"/>
        <w:ind w:firstLine="420"/>
      </w:pPr>
      <w:r>
        <w:rPr>
          <w:rFonts w:hint="eastAsia"/>
        </w:rPr>
        <w:t>政策因素</w:t>
      </w:r>
      <w:r w:rsidR="002346E9">
        <w:rPr>
          <w:rFonts w:hint="eastAsia"/>
        </w:rPr>
        <w:t>在中国的资本市场对市场异象的解释力度应远大于其他国家</w:t>
      </w:r>
      <w:r w:rsidR="002C0BD4">
        <w:rPr>
          <w:rFonts w:hint="eastAsia"/>
        </w:rPr>
        <w:t>。</w:t>
      </w:r>
      <w:r w:rsidR="005126D4">
        <w:rPr>
          <w:rFonts w:hint="eastAsia"/>
        </w:rPr>
        <w:t>中国政府所出台的资本市场相关政策的执行力</w:t>
      </w:r>
      <w:r w:rsidR="00F676A8">
        <w:rPr>
          <w:rFonts w:hint="eastAsia"/>
        </w:rPr>
        <w:t>较强</w:t>
      </w:r>
      <w:r w:rsidR="003E1AEC">
        <w:rPr>
          <w:rFonts w:hint="eastAsia"/>
        </w:rPr>
        <w:t>，政府参与在理论上能够</w:t>
      </w:r>
      <w:r w:rsidR="00764D27">
        <w:rPr>
          <w:rFonts w:hint="eastAsia"/>
        </w:rPr>
        <w:t>与</w:t>
      </w:r>
      <w:r w:rsidR="003E1AEC">
        <w:rPr>
          <w:rFonts w:hint="eastAsia"/>
        </w:rPr>
        <w:t>“看不见的</w:t>
      </w:r>
      <w:r w:rsidR="009533C3">
        <w:rPr>
          <w:rFonts w:hint="eastAsia"/>
        </w:rPr>
        <w:t>手</w:t>
      </w:r>
      <w:r w:rsidR="003E1AEC">
        <w:rPr>
          <w:rFonts w:hint="eastAsia"/>
        </w:rPr>
        <w:t>”</w:t>
      </w:r>
      <w:r w:rsidR="009023A7">
        <w:rPr>
          <w:rFonts w:hint="eastAsia"/>
        </w:rPr>
        <w:t>共同发挥</w:t>
      </w:r>
      <w:r w:rsidR="00996B4C">
        <w:rPr>
          <w:rFonts w:hint="eastAsia"/>
        </w:rPr>
        <w:t>作用</w:t>
      </w:r>
      <w:r w:rsidR="001B16D0">
        <w:rPr>
          <w:rFonts w:hint="eastAsia"/>
        </w:rPr>
        <w:t>，使资本市场中的供求、竞争、价格机制发挥决定性作用的同时受到</w:t>
      </w:r>
      <w:r w:rsidR="006138B3">
        <w:rPr>
          <w:rFonts w:hint="eastAsia"/>
        </w:rPr>
        <w:t>政府的</w:t>
      </w:r>
      <w:r w:rsidR="001B16D0">
        <w:rPr>
          <w:rFonts w:hint="eastAsia"/>
        </w:rPr>
        <w:t>监管</w:t>
      </w:r>
      <w:r w:rsidR="008560B2">
        <w:rPr>
          <w:rFonts w:hint="eastAsia"/>
        </w:rPr>
        <w:t>与</w:t>
      </w:r>
      <w:r w:rsidR="00CC3DB7">
        <w:rPr>
          <w:rFonts w:hint="eastAsia"/>
        </w:rPr>
        <w:t>秩序</w:t>
      </w:r>
      <w:r w:rsidR="001B16D0">
        <w:rPr>
          <w:rFonts w:hint="eastAsia"/>
        </w:rPr>
        <w:t>维护</w:t>
      </w:r>
      <w:r w:rsidR="00CA6BE1">
        <w:rPr>
          <w:rFonts w:hint="eastAsia"/>
        </w:rPr>
        <w:t>。政策因素的存在无疑破坏了市场有效性</w:t>
      </w:r>
      <w:r w:rsidR="008B082D">
        <w:rPr>
          <w:rFonts w:hint="eastAsia"/>
        </w:rPr>
        <w:t>，</w:t>
      </w:r>
      <w:r w:rsidR="00F62EF3">
        <w:rPr>
          <w:rFonts w:hint="eastAsia"/>
        </w:rPr>
        <w:t>在非极度异常的股市中</w:t>
      </w:r>
      <w:r w:rsidR="00DE054C">
        <w:rPr>
          <w:rFonts w:hint="eastAsia"/>
        </w:rPr>
        <w:t>引发</w:t>
      </w:r>
      <w:r w:rsidR="00234BB7">
        <w:rPr>
          <w:rFonts w:hint="eastAsia"/>
        </w:rPr>
        <w:t>市场异象</w:t>
      </w:r>
      <w:r w:rsidR="004A2B83">
        <w:rPr>
          <w:rFonts w:hint="eastAsia"/>
        </w:rPr>
        <w:t>。</w:t>
      </w:r>
    </w:p>
    <w:p w14:paraId="1024CC5B" w14:textId="463E8BF5" w:rsidR="00975F32" w:rsidRDefault="00357608" w:rsidP="00FE0905">
      <w:pPr>
        <w:pStyle w:val="ac"/>
        <w:ind w:firstLine="420"/>
      </w:pPr>
      <w:r>
        <w:rPr>
          <w:rFonts w:hint="eastAsia"/>
        </w:rPr>
        <w:t>三类因素以一个整体的形式对日历效应产生影响</w:t>
      </w:r>
      <w:r w:rsidR="00DF23F5">
        <w:rPr>
          <w:rFonts w:hint="eastAsia"/>
        </w:rPr>
        <w:t>，分别脱胎</w:t>
      </w:r>
      <w:proofErr w:type="gramStart"/>
      <w:r w:rsidR="00DF23F5">
        <w:rPr>
          <w:rFonts w:hint="eastAsia"/>
        </w:rPr>
        <w:t>自传统</w:t>
      </w:r>
      <w:proofErr w:type="gramEnd"/>
      <w:r w:rsidR="00DF23F5">
        <w:rPr>
          <w:rFonts w:hint="eastAsia"/>
        </w:rPr>
        <w:t>金融学领域、行为金融学领域、</w:t>
      </w:r>
      <w:r w:rsidR="00B95E0D">
        <w:rPr>
          <w:rFonts w:hint="eastAsia"/>
        </w:rPr>
        <w:t>中国的“政策市”</w:t>
      </w:r>
      <w:r w:rsidR="00373AD1">
        <w:rPr>
          <w:rFonts w:hint="eastAsia"/>
        </w:rPr>
        <w:t>学说</w:t>
      </w:r>
      <w:r w:rsidR="00BE4905">
        <w:rPr>
          <w:rFonts w:hint="eastAsia"/>
        </w:rPr>
        <w:t>。</w:t>
      </w:r>
      <w:r w:rsidR="00B13C5F">
        <w:rPr>
          <w:rFonts w:hint="eastAsia"/>
        </w:rPr>
        <w:t>代表股市本身</w:t>
      </w:r>
      <w:r w:rsidR="00763F18">
        <w:rPr>
          <w:rFonts w:hint="eastAsia"/>
        </w:rPr>
        <w:t>的</w:t>
      </w:r>
      <w:r w:rsidR="00B13C5F">
        <w:rPr>
          <w:rFonts w:hint="eastAsia"/>
        </w:rPr>
        <w:t>特征、存在情绪化可能的投资者</w:t>
      </w:r>
      <w:r w:rsidR="00D73F89">
        <w:rPr>
          <w:rFonts w:hint="eastAsia"/>
        </w:rPr>
        <w:t>与</w:t>
      </w:r>
      <w:r w:rsidR="00B13C5F">
        <w:rPr>
          <w:rFonts w:hint="eastAsia"/>
        </w:rPr>
        <w:t>政府</w:t>
      </w:r>
      <w:r w:rsidR="005E17B1">
        <w:rPr>
          <w:rFonts w:hint="eastAsia"/>
        </w:rPr>
        <w:t>三个与股市密切相关的因素</w:t>
      </w:r>
      <w:r w:rsidR="00604EC5">
        <w:rPr>
          <w:rFonts w:hint="eastAsia"/>
        </w:rPr>
        <w:t>。</w:t>
      </w:r>
    </w:p>
    <w:p w14:paraId="550374C5" w14:textId="77777777" w:rsidR="00975F32" w:rsidRDefault="00975F32">
      <w:pPr>
        <w:widowControl/>
        <w:jc w:val="left"/>
        <w:rPr>
          <w:rFonts w:ascii="宋体" w:eastAsia="宋体" w:hAnsi="宋体" w:cs="Times New Roman"/>
          <w:sz w:val="24"/>
          <w:szCs w:val="28"/>
        </w:rPr>
      </w:pPr>
      <w:r>
        <w:br w:type="page"/>
      </w:r>
    </w:p>
    <w:p w14:paraId="57880D32" w14:textId="77777777" w:rsidR="00E96F41" w:rsidRDefault="00E96F41" w:rsidP="00E96F41">
      <w:pPr>
        <w:pStyle w:val="a"/>
        <w:numPr>
          <w:ilvl w:val="0"/>
          <w:numId w:val="0"/>
        </w:numPr>
        <w:jc w:val="both"/>
      </w:pPr>
    </w:p>
    <w:p w14:paraId="6725BAEF" w14:textId="23B76020" w:rsidR="00975F32" w:rsidRDefault="008A1029" w:rsidP="00E96F41">
      <w:pPr>
        <w:pStyle w:val="a"/>
      </w:pPr>
      <w:bookmarkStart w:id="20" w:name="_Toc3381480"/>
      <w:r>
        <w:rPr>
          <w:rFonts w:hint="eastAsia"/>
        </w:rPr>
        <w:t>中国股市日历效应检验</w:t>
      </w:r>
      <w:bookmarkEnd w:id="20"/>
    </w:p>
    <w:p w14:paraId="57226B8F" w14:textId="070BBD8F" w:rsidR="00E96F41" w:rsidRDefault="00E96F41" w:rsidP="00E96F41">
      <w:pPr>
        <w:pStyle w:val="a"/>
        <w:numPr>
          <w:ilvl w:val="0"/>
          <w:numId w:val="0"/>
        </w:numPr>
        <w:jc w:val="both"/>
      </w:pPr>
    </w:p>
    <w:p w14:paraId="6873C9D3" w14:textId="296EA182" w:rsidR="00CB3DE7" w:rsidRDefault="00191755" w:rsidP="00DE70EA">
      <w:pPr>
        <w:pStyle w:val="a0"/>
        <w:spacing w:before="156"/>
      </w:pPr>
      <w:bookmarkStart w:id="21" w:name="_Toc3381481"/>
      <w:r>
        <w:rPr>
          <w:rFonts w:hint="eastAsia"/>
        </w:rPr>
        <w:t>日历效应检验方法</w:t>
      </w:r>
      <w:bookmarkEnd w:id="21"/>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语言中的rugarch包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22" w:name="_Toc3381482"/>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22"/>
    </w:p>
    <w:p w14:paraId="169E66BE" w14:textId="61885B7B" w:rsidR="00034BBE" w:rsidRDefault="00034BBE" w:rsidP="000C5670">
      <w:pPr>
        <w:pStyle w:val="a1"/>
        <w:spacing w:before="156" w:after="156"/>
      </w:pPr>
      <w:bookmarkStart w:id="23" w:name="_Toc3381483"/>
      <w:r>
        <w:rPr>
          <w:rFonts w:hint="eastAsia"/>
        </w:rPr>
        <w:t>模型选择</w:t>
      </w:r>
      <w:bookmarkEnd w:id="23"/>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w:t>
      </w:r>
      <w:r>
        <w:rPr>
          <w:rFonts w:hint="eastAsia"/>
        </w:rPr>
        <w:lastRenderedPageBreak/>
        <w:t>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24" w:name="_Toc3381484"/>
      <w:r>
        <w:rPr>
          <w:rFonts w:hint="eastAsia"/>
        </w:rPr>
        <w:t>模型描述与解释</w:t>
      </w:r>
      <w:bookmarkEnd w:id="24"/>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1C761C"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25" w:name="_Toc3381485"/>
      <w:r>
        <w:rPr>
          <w:rFonts w:hint="eastAsia"/>
        </w:rPr>
        <w:t>模型</w:t>
      </w:r>
      <w:r w:rsidR="00BE1748">
        <w:rPr>
          <w:rFonts w:hint="eastAsia"/>
        </w:rPr>
        <w:t>参数</w:t>
      </w:r>
      <w:r>
        <w:rPr>
          <w:rFonts w:hint="eastAsia"/>
        </w:rPr>
        <w:t>设定</w:t>
      </w:r>
      <w:bookmarkEnd w:id="25"/>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w:t>
      </w:r>
      <w:r>
        <w:rPr>
          <w:rFonts w:ascii="宋体" w:eastAsia="宋体" w:hAnsi="宋体" w:hint="eastAsia"/>
        </w:rPr>
        <w:lastRenderedPageBreak/>
        <w:t>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26" w:name="_Toc3381486"/>
      <w:r>
        <w:rPr>
          <w:rFonts w:hint="eastAsia"/>
        </w:rPr>
        <w:t>日历效应</w:t>
      </w:r>
      <w:r w:rsidR="005C2D6D">
        <w:rPr>
          <w:rFonts w:hint="eastAsia"/>
        </w:rPr>
        <w:t>检验步骤</w:t>
      </w:r>
      <w:bookmarkEnd w:id="26"/>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7" w:name="_Toc3381487"/>
      <w:r>
        <w:rPr>
          <w:rFonts w:hint="eastAsia"/>
        </w:rPr>
        <w:t>数据选择与处理方法</w:t>
      </w:r>
      <w:bookmarkEnd w:id="27"/>
    </w:p>
    <w:p w14:paraId="5CD86B89" w14:textId="6CE53453" w:rsidR="000F15F3" w:rsidRDefault="000F15F3" w:rsidP="000F15F3">
      <w:pPr>
        <w:pStyle w:val="a1"/>
        <w:spacing w:before="156" w:after="156"/>
      </w:pPr>
      <w:bookmarkStart w:id="28" w:name="_Toc3381488"/>
      <w:r>
        <w:rPr>
          <w:rFonts w:hint="eastAsia"/>
        </w:rPr>
        <w:t>数据选择</w:t>
      </w:r>
      <w:bookmarkEnd w:id="28"/>
    </w:p>
    <w:p w14:paraId="75A24BB2" w14:textId="77777777" w:rsidR="000F15F3"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p>
    <w:p w14:paraId="6E3EDF33" w14:textId="16234FFF" w:rsidR="000F15F3" w:rsidRDefault="00246AF1" w:rsidP="000F15F3">
      <w:pPr>
        <w:pStyle w:val="a1"/>
        <w:spacing w:before="156" w:after="156"/>
      </w:pPr>
      <w:bookmarkStart w:id="29" w:name="_Toc3381489"/>
      <w:r>
        <w:rPr>
          <w:rFonts w:hint="eastAsia"/>
        </w:rPr>
        <w:t>对数收益率与</w:t>
      </w:r>
      <w:r w:rsidR="000F15F3">
        <w:rPr>
          <w:rFonts w:hint="eastAsia"/>
        </w:rPr>
        <w:t>已实现波动率</w:t>
      </w:r>
      <w:bookmarkEnd w:id="29"/>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1C761C"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8068B">
        <w:rPr>
          <w:rFonts w:hint="eastAsia"/>
          <w:color w:val="FF0000"/>
        </w:rPr>
        <w:t>Andersen和</w:t>
      </w:r>
      <w:proofErr w:type="spellStart"/>
      <w:r w:rsidR="0098068B" w:rsidRPr="0098068B">
        <w:rPr>
          <w:rFonts w:hint="eastAsia"/>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t>为股指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1C761C"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387E0D21" w:rsidR="008021E9" w:rsidRDefault="008021E9" w:rsidP="000F15F3">
      <w:pPr>
        <w:pStyle w:val="a1"/>
        <w:spacing w:before="156" w:after="156"/>
      </w:pPr>
      <w:bookmarkStart w:id="30" w:name="_Toc3381490"/>
      <w:r>
        <w:rPr>
          <w:rFonts w:hint="eastAsia"/>
        </w:rPr>
        <w:t>数据描述性统计</w:t>
      </w:r>
      <w:bookmarkEnd w:id="30"/>
    </w:p>
    <w:p w14:paraId="56CA6FB2" w14:textId="45E04738" w:rsidR="007E354E" w:rsidRDefault="007E354E" w:rsidP="007E354E">
      <w:pPr>
        <w:pStyle w:val="ac"/>
        <w:ind w:firstLine="420"/>
      </w:pPr>
      <w:r>
        <w:rPr>
          <w:rFonts w:hint="eastAsia"/>
        </w:rPr>
        <w:t>本文对各股指的对数收益率以及已实现波动率进行了描述性统计，结果如下表所示：</w:t>
      </w:r>
    </w:p>
    <w:p w14:paraId="78F51FD1" w14:textId="22DEDBD1" w:rsidR="00F70E29" w:rsidRPr="00203A93" w:rsidRDefault="00203A93" w:rsidP="00283723">
      <w:pPr>
        <w:pStyle w:val="ac"/>
        <w:ind w:firstLine="422"/>
        <w:jc w:val="center"/>
        <w:rPr>
          <w:b/>
        </w:rPr>
      </w:pPr>
      <w:r w:rsidRPr="00203A93">
        <w:rPr>
          <w:rFonts w:hint="eastAsia"/>
          <w:b/>
        </w:rPr>
        <w:t>表3-</w:t>
      </w:r>
      <w:r w:rsidRPr="00203A93">
        <w:rPr>
          <w:b/>
        </w:rPr>
        <w:t>1</w:t>
      </w:r>
      <w:r w:rsidRPr="00203A93">
        <w:rPr>
          <w:rFonts w:hint="eastAsia"/>
          <w:b/>
        </w:rPr>
        <w:t xml:space="preserve"> 各</w:t>
      </w:r>
      <w:r w:rsidR="00C477A5" w:rsidRPr="00203A93">
        <w:rPr>
          <w:rFonts w:hint="eastAsia"/>
          <w:b/>
        </w:rPr>
        <w:t>股指对数收益率与</w:t>
      </w:r>
      <w:r w:rsidR="00064288" w:rsidRPr="00203A93">
        <w:rPr>
          <w:rFonts w:hint="eastAsia"/>
          <w:b/>
        </w:rPr>
        <w:t>已实现波动率描述性统计表</w:t>
      </w:r>
    </w:p>
    <w:tbl>
      <w:tblPr>
        <w:tblW w:w="4820" w:type="dxa"/>
        <w:jc w:val="center"/>
        <w:tblLook w:val="04A0" w:firstRow="1" w:lastRow="0" w:firstColumn="1" w:lastColumn="0" w:noHBand="0" w:noVBand="1"/>
      </w:tblPr>
      <w:tblGrid>
        <w:gridCol w:w="567"/>
        <w:gridCol w:w="1134"/>
        <w:gridCol w:w="1555"/>
        <w:gridCol w:w="1564"/>
      </w:tblGrid>
      <w:tr w:rsidR="004872B5" w:rsidRPr="004872B5" w14:paraId="23440701" w14:textId="77777777" w:rsidTr="006536B8">
        <w:trPr>
          <w:trHeight w:val="285"/>
          <w:jc w:val="center"/>
        </w:trPr>
        <w:tc>
          <w:tcPr>
            <w:tcW w:w="567" w:type="dxa"/>
            <w:tcBorders>
              <w:top w:val="single" w:sz="4" w:space="0" w:color="auto"/>
              <w:left w:val="nil"/>
              <w:bottom w:val="single" w:sz="4" w:space="0" w:color="auto"/>
              <w:right w:val="nil"/>
            </w:tcBorders>
            <w:shd w:val="clear" w:color="auto" w:fill="auto"/>
            <w:noWrap/>
            <w:vAlign w:val="bottom"/>
            <w:hideMark/>
          </w:tcPr>
          <w:p w14:paraId="36CAE83E" w14:textId="77777777" w:rsidR="004872B5" w:rsidRPr="004872B5" w:rsidRDefault="004872B5" w:rsidP="004872B5">
            <w:pPr>
              <w:widowControl/>
              <w:jc w:val="left"/>
              <w:rPr>
                <w:rFonts w:ascii="宋体" w:eastAsia="宋体" w:hAnsi="宋体" w:cs="宋体"/>
                <w:kern w:val="0"/>
                <w:sz w:val="24"/>
                <w:szCs w:val="24"/>
              </w:rPr>
            </w:pPr>
          </w:p>
        </w:tc>
        <w:tc>
          <w:tcPr>
            <w:tcW w:w="1134" w:type="dxa"/>
            <w:tcBorders>
              <w:top w:val="single" w:sz="4" w:space="0" w:color="auto"/>
              <w:left w:val="nil"/>
              <w:bottom w:val="single" w:sz="4" w:space="0" w:color="auto"/>
              <w:right w:val="nil"/>
            </w:tcBorders>
            <w:shd w:val="clear" w:color="auto" w:fill="auto"/>
            <w:noWrap/>
            <w:vAlign w:val="bottom"/>
            <w:hideMark/>
          </w:tcPr>
          <w:p w14:paraId="213C50DE" w14:textId="77777777" w:rsidR="004872B5" w:rsidRPr="004872B5" w:rsidRDefault="004872B5" w:rsidP="004872B5">
            <w:pPr>
              <w:widowControl/>
              <w:jc w:val="left"/>
              <w:rPr>
                <w:rFonts w:ascii="Times New Roman" w:eastAsia="Times New Roman" w:hAnsi="Times New Roman" w:cs="Times New Roman"/>
                <w:kern w:val="0"/>
                <w:sz w:val="20"/>
                <w:szCs w:val="20"/>
              </w:rPr>
            </w:pPr>
          </w:p>
        </w:tc>
        <w:tc>
          <w:tcPr>
            <w:tcW w:w="1555" w:type="dxa"/>
            <w:tcBorders>
              <w:top w:val="single" w:sz="4" w:space="0" w:color="auto"/>
              <w:left w:val="nil"/>
              <w:bottom w:val="single" w:sz="4" w:space="0" w:color="auto"/>
              <w:right w:val="nil"/>
            </w:tcBorders>
            <w:shd w:val="clear" w:color="auto" w:fill="auto"/>
            <w:noWrap/>
            <w:vAlign w:val="bottom"/>
            <w:hideMark/>
          </w:tcPr>
          <w:p w14:paraId="21F70CE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对数收益率</w:t>
            </w:r>
          </w:p>
        </w:tc>
        <w:tc>
          <w:tcPr>
            <w:tcW w:w="1564" w:type="dxa"/>
            <w:tcBorders>
              <w:top w:val="single" w:sz="4" w:space="0" w:color="auto"/>
              <w:left w:val="nil"/>
              <w:bottom w:val="single" w:sz="4" w:space="0" w:color="auto"/>
              <w:right w:val="nil"/>
            </w:tcBorders>
            <w:shd w:val="clear" w:color="auto" w:fill="auto"/>
            <w:noWrap/>
            <w:vAlign w:val="bottom"/>
            <w:hideMark/>
          </w:tcPr>
          <w:p w14:paraId="1DB77D0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已实现波动率</w:t>
            </w:r>
          </w:p>
        </w:tc>
      </w:tr>
      <w:tr w:rsidR="004872B5" w:rsidRPr="004872B5" w14:paraId="52A6B2ED" w14:textId="77777777" w:rsidTr="006536B8">
        <w:trPr>
          <w:trHeight w:val="285"/>
          <w:jc w:val="center"/>
        </w:trPr>
        <w:tc>
          <w:tcPr>
            <w:tcW w:w="567" w:type="dxa"/>
            <w:vMerge w:val="restart"/>
            <w:tcBorders>
              <w:top w:val="single" w:sz="4" w:space="0" w:color="auto"/>
              <w:left w:val="nil"/>
              <w:bottom w:val="nil"/>
              <w:right w:val="nil"/>
            </w:tcBorders>
            <w:shd w:val="clear" w:color="auto" w:fill="auto"/>
            <w:vAlign w:val="center"/>
            <w:hideMark/>
          </w:tcPr>
          <w:p w14:paraId="03CD7135"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上证综指</w:t>
            </w:r>
          </w:p>
        </w:tc>
        <w:tc>
          <w:tcPr>
            <w:tcW w:w="1134" w:type="dxa"/>
            <w:tcBorders>
              <w:top w:val="single" w:sz="4" w:space="0" w:color="auto"/>
              <w:left w:val="nil"/>
              <w:bottom w:val="nil"/>
              <w:right w:val="nil"/>
            </w:tcBorders>
            <w:shd w:val="clear" w:color="auto" w:fill="auto"/>
            <w:noWrap/>
            <w:vAlign w:val="bottom"/>
            <w:hideMark/>
          </w:tcPr>
          <w:p w14:paraId="7B7CA86F"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single" w:sz="4" w:space="0" w:color="auto"/>
              <w:left w:val="nil"/>
              <w:bottom w:val="nil"/>
              <w:right w:val="nil"/>
            </w:tcBorders>
            <w:shd w:val="clear" w:color="auto" w:fill="auto"/>
            <w:noWrap/>
            <w:vAlign w:val="bottom"/>
            <w:hideMark/>
          </w:tcPr>
          <w:p w14:paraId="7856B4A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single" w:sz="4" w:space="0" w:color="auto"/>
              <w:left w:val="nil"/>
              <w:bottom w:val="nil"/>
              <w:right w:val="nil"/>
            </w:tcBorders>
            <w:shd w:val="clear" w:color="auto" w:fill="auto"/>
            <w:noWrap/>
            <w:vAlign w:val="bottom"/>
            <w:hideMark/>
          </w:tcPr>
          <w:p w14:paraId="315CDD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2DFFC751" w14:textId="77777777" w:rsidTr="00440739">
        <w:trPr>
          <w:trHeight w:val="285"/>
          <w:jc w:val="center"/>
        </w:trPr>
        <w:tc>
          <w:tcPr>
            <w:tcW w:w="567" w:type="dxa"/>
            <w:vMerge/>
            <w:tcBorders>
              <w:top w:val="nil"/>
              <w:left w:val="nil"/>
              <w:bottom w:val="nil"/>
              <w:right w:val="nil"/>
            </w:tcBorders>
            <w:vAlign w:val="center"/>
            <w:hideMark/>
          </w:tcPr>
          <w:p w14:paraId="602B0743"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DC27505" w14:textId="3CFCED4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58103F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-0.00027</w:t>
            </w:r>
          </w:p>
        </w:tc>
        <w:tc>
          <w:tcPr>
            <w:tcW w:w="1564" w:type="dxa"/>
            <w:tcBorders>
              <w:top w:val="nil"/>
              <w:left w:val="nil"/>
              <w:bottom w:val="nil"/>
              <w:right w:val="nil"/>
            </w:tcBorders>
            <w:shd w:val="clear" w:color="auto" w:fill="auto"/>
            <w:noWrap/>
            <w:vAlign w:val="bottom"/>
            <w:hideMark/>
          </w:tcPr>
          <w:p w14:paraId="0259117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0.000233</w:t>
            </w:r>
          </w:p>
        </w:tc>
      </w:tr>
      <w:tr w:rsidR="004872B5" w:rsidRPr="004872B5" w14:paraId="1CF1B2D6" w14:textId="77777777" w:rsidTr="00440739">
        <w:trPr>
          <w:trHeight w:val="285"/>
          <w:jc w:val="center"/>
        </w:trPr>
        <w:tc>
          <w:tcPr>
            <w:tcW w:w="567" w:type="dxa"/>
            <w:vMerge/>
            <w:tcBorders>
              <w:top w:val="nil"/>
              <w:left w:val="nil"/>
              <w:bottom w:val="nil"/>
              <w:right w:val="nil"/>
            </w:tcBorders>
            <w:vAlign w:val="center"/>
            <w:hideMark/>
          </w:tcPr>
          <w:p w14:paraId="488E3409"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26F244D"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4CD0481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0.016275</w:t>
            </w:r>
          </w:p>
        </w:tc>
        <w:tc>
          <w:tcPr>
            <w:tcW w:w="1564" w:type="dxa"/>
            <w:tcBorders>
              <w:top w:val="nil"/>
              <w:left w:val="nil"/>
              <w:bottom w:val="nil"/>
              <w:right w:val="nil"/>
            </w:tcBorders>
            <w:shd w:val="clear" w:color="auto" w:fill="auto"/>
            <w:noWrap/>
            <w:vAlign w:val="bottom"/>
            <w:hideMark/>
          </w:tcPr>
          <w:p w14:paraId="6D6A2A9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0.000456</w:t>
            </w:r>
          </w:p>
        </w:tc>
      </w:tr>
      <w:tr w:rsidR="004872B5" w:rsidRPr="004872B5" w14:paraId="4A8EBD3C" w14:textId="77777777" w:rsidTr="00440739">
        <w:trPr>
          <w:trHeight w:val="285"/>
          <w:jc w:val="center"/>
        </w:trPr>
        <w:tc>
          <w:tcPr>
            <w:tcW w:w="567" w:type="dxa"/>
            <w:vMerge/>
            <w:tcBorders>
              <w:top w:val="nil"/>
              <w:left w:val="nil"/>
              <w:bottom w:val="nil"/>
              <w:right w:val="nil"/>
            </w:tcBorders>
            <w:vAlign w:val="center"/>
            <w:hideMark/>
          </w:tcPr>
          <w:p w14:paraId="7F66817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A82E97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32551"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-0.08873</w:t>
            </w:r>
          </w:p>
        </w:tc>
        <w:tc>
          <w:tcPr>
            <w:tcW w:w="1564" w:type="dxa"/>
            <w:tcBorders>
              <w:top w:val="nil"/>
              <w:left w:val="nil"/>
              <w:bottom w:val="nil"/>
              <w:right w:val="nil"/>
            </w:tcBorders>
            <w:shd w:val="clear" w:color="auto" w:fill="auto"/>
            <w:noWrap/>
            <w:vAlign w:val="bottom"/>
            <w:hideMark/>
          </w:tcPr>
          <w:p w14:paraId="49FB58E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7.5E-06</w:t>
            </w:r>
          </w:p>
        </w:tc>
      </w:tr>
      <w:tr w:rsidR="004872B5" w:rsidRPr="004872B5" w14:paraId="223220DE" w14:textId="77777777" w:rsidTr="00440739">
        <w:trPr>
          <w:trHeight w:val="285"/>
          <w:jc w:val="center"/>
        </w:trPr>
        <w:tc>
          <w:tcPr>
            <w:tcW w:w="567" w:type="dxa"/>
            <w:vMerge/>
            <w:tcBorders>
              <w:top w:val="nil"/>
              <w:left w:val="nil"/>
              <w:bottom w:val="nil"/>
              <w:right w:val="nil"/>
            </w:tcBorders>
            <w:vAlign w:val="center"/>
            <w:hideMark/>
          </w:tcPr>
          <w:p w14:paraId="60FE716C"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C523924"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1966EC0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0.090343</w:t>
            </w:r>
          </w:p>
        </w:tc>
        <w:tc>
          <w:tcPr>
            <w:tcW w:w="1564" w:type="dxa"/>
            <w:tcBorders>
              <w:top w:val="nil"/>
              <w:left w:val="nil"/>
              <w:bottom w:val="nil"/>
              <w:right w:val="nil"/>
            </w:tcBorders>
            <w:shd w:val="clear" w:color="auto" w:fill="auto"/>
            <w:noWrap/>
            <w:vAlign w:val="bottom"/>
            <w:hideMark/>
          </w:tcPr>
          <w:p w14:paraId="1C7A7DA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0.006996</w:t>
            </w:r>
          </w:p>
        </w:tc>
      </w:tr>
      <w:tr w:rsidR="004872B5" w:rsidRPr="004872B5" w14:paraId="60469B89" w14:textId="77777777" w:rsidTr="00440739">
        <w:trPr>
          <w:trHeight w:val="285"/>
          <w:jc w:val="center"/>
        </w:trPr>
        <w:tc>
          <w:tcPr>
            <w:tcW w:w="567" w:type="dxa"/>
            <w:vMerge/>
            <w:tcBorders>
              <w:top w:val="nil"/>
              <w:left w:val="nil"/>
              <w:bottom w:val="nil"/>
              <w:right w:val="nil"/>
            </w:tcBorders>
            <w:vAlign w:val="center"/>
            <w:hideMark/>
          </w:tcPr>
          <w:p w14:paraId="7823B1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C6CA8D0"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F94E88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4EA9B9B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0ACB9B1"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FC9D2DB"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创业板指</w:t>
            </w:r>
          </w:p>
        </w:tc>
        <w:tc>
          <w:tcPr>
            <w:tcW w:w="1134" w:type="dxa"/>
            <w:tcBorders>
              <w:top w:val="nil"/>
              <w:left w:val="nil"/>
              <w:bottom w:val="nil"/>
              <w:right w:val="nil"/>
            </w:tcBorders>
            <w:shd w:val="clear" w:color="auto" w:fill="auto"/>
            <w:noWrap/>
            <w:vAlign w:val="bottom"/>
            <w:hideMark/>
          </w:tcPr>
          <w:p w14:paraId="4CAAC73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4EAA6B6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c>
          <w:tcPr>
            <w:tcW w:w="1564" w:type="dxa"/>
            <w:tcBorders>
              <w:top w:val="nil"/>
              <w:left w:val="nil"/>
              <w:bottom w:val="nil"/>
              <w:right w:val="nil"/>
            </w:tcBorders>
            <w:shd w:val="clear" w:color="auto" w:fill="auto"/>
            <w:noWrap/>
            <w:vAlign w:val="bottom"/>
            <w:hideMark/>
          </w:tcPr>
          <w:p w14:paraId="7AE6BB4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r>
      <w:tr w:rsidR="004872B5" w:rsidRPr="004872B5" w14:paraId="45E5E946" w14:textId="77777777" w:rsidTr="00440739">
        <w:trPr>
          <w:trHeight w:val="285"/>
          <w:jc w:val="center"/>
        </w:trPr>
        <w:tc>
          <w:tcPr>
            <w:tcW w:w="567" w:type="dxa"/>
            <w:vMerge/>
            <w:tcBorders>
              <w:top w:val="nil"/>
              <w:left w:val="nil"/>
              <w:bottom w:val="nil"/>
              <w:right w:val="nil"/>
            </w:tcBorders>
            <w:vAlign w:val="center"/>
            <w:hideMark/>
          </w:tcPr>
          <w:p w14:paraId="7D5C75A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F1B0E11"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2BF78B9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0.000111</w:t>
            </w:r>
          </w:p>
        </w:tc>
        <w:tc>
          <w:tcPr>
            <w:tcW w:w="1564" w:type="dxa"/>
            <w:tcBorders>
              <w:top w:val="nil"/>
              <w:left w:val="nil"/>
              <w:bottom w:val="nil"/>
              <w:right w:val="nil"/>
            </w:tcBorders>
            <w:shd w:val="clear" w:color="auto" w:fill="auto"/>
            <w:noWrap/>
            <w:vAlign w:val="bottom"/>
            <w:hideMark/>
          </w:tcPr>
          <w:p w14:paraId="52B35C3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0.000286</w:t>
            </w:r>
          </w:p>
        </w:tc>
      </w:tr>
      <w:tr w:rsidR="004872B5" w:rsidRPr="004872B5" w14:paraId="773F15D0" w14:textId="77777777" w:rsidTr="00440739">
        <w:trPr>
          <w:trHeight w:val="285"/>
          <w:jc w:val="center"/>
        </w:trPr>
        <w:tc>
          <w:tcPr>
            <w:tcW w:w="567" w:type="dxa"/>
            <w:vMerge/>
            <w:tcBorders>
              <w:top w:val="nil"/>
              <w:left w:val="nil"/>
              <w:bottom w:val="nil"/>
              <w:right w:val="nil"/>
            </w:tcBorders>
            <w:vAlign w:val="center"/>
            <w:hideMark/>
          </w:tcPr>
          <w:p w14:paraId="2032F1D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D7526B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725B113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0.020138</w:t>
            </w:r>
          </w:p>
        </w:tc>
        <w:tc>
          <w:tcPr>
            <w:tcW w:w="1564" w:type="dxa"/>
            <w:tcBorders>
              <w:top w:val="nil"/>
              <w:left w:val="nil"/>
              <w:bottom w:val="nil"/>
              <w:right w:val="nil"/>
            </w:tcBorders>
            <w:shd w:val="clear" w:color="auto" w:fill="auto"/>
            <w:noWrap/>
            <w:vAlign w:val="bottom"/>
            <w:hideMark/>
          </w:tcPr>
          <w:p w14:paraId="2AB184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0.000538</w:t>
            </w:r>
          </w:p>
        </w:tc>
      </w:tr>
      <w:tr w:rsidR="004872B5" w:rsidRPr="004872B5" w14:paraId="6491B731" w14:textId="77777777" w:rsidTr="00440739">
        <w:trPr>
          <w:trHeight w:val="285"/>
          <w:jc w:val="center"/>
        </w:trPr>
        <w:tc>
          <w:tcPr>
            <w:tcW w:w="567" w:type="dxa"/>
            <w:vMerge/>
            <w:tcBorders>
              <w:top w:val="nil"/>
              <w:left w:val="nil"/>
              <w:bottom w:val="nil"/>
              <w:right w:val="nil"/>
            </w:tcBorders>
            <w:vAlign w:val="center"/>
            <w:hideMark/>
          </w:tcPr>
          <w:p w14:paraId="4A34B8C2"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3A0CF6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195F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-0.09332</w:t>
            </w:r>
          </w:p>
        </w:tc>
        <w:tc>
          <w:tcPr>
            <w:tcW w:w="1564" w:type="dxa"/>
            <w:tcBorders>
              <w:top w:val="nil"/>
              <w:left w:val="nil"/>
              <w:bottom w:val="nil"/>
              <w:right w:val="nil"/>
            </w:tcBorders>
            <w:shd w:val="clear" w:color="auto" w:fill="auto"/>
            <w:noWrap/>
            <w:vAlign w:val="bottom"/>
            <w:hideMark/>
          </w:tcPr>
          <w:p w14:paraId="0E22B5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1.5E-05</w:t>
            </w:r>
          </w:p>
        </w:tc>
      </w:tr>
      <w:tr w:rsidR="004872B5" w:rsidRPr="004872B5" w14:paraId="60A86D71" w14:textId="77777777" w:rsidTr="00440739">
        <w:trPr>
          <w:trHeight w:val="285"/>
          <w:jc w:val="center"/>
        </w:trPr>
        <w:tc>
          <w:tcPr>
            <w:tcW w:w="567" w:type="dxa"/>
            <w:vMerge/>
            <w:tcBorders>
              <w:top w:val="nil"/>
              <w:left w:val="nil"/>
              <w:bottom w:val="nil"/>
              <w:right w:val="nil"/>
            </w:tcBorders>
            <w:vAlign w:val="center"/>
            <w:hideMark/>
          </w:tcPr>
          <w:p w14:paraId="452DAE70"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489DE2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1C1B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0.06914</w:t>
            </w:r>
          </w:p>
        </w:tc>
        <w:tc>
          <w:tcPr>
            <w:tcW w:w="1564" w:type="dxa"/>
            <w:tcBorders>
              <w:top w:val="nil"/>
              <w:left w:val="nil"/>
              <w:bottom w:val="nil"/>
              <w:right w:val="nil"/>
            </w:tcBorders>
            <w:shd w:val="clear" w:color="auto" w:fill="auto"/>
            <w:noWrap/>
            <w:vAlign w:val="bottom"/>
            <w:hideMark/>
          </w:tcPr>
          <w:p w14:paraId="29453FA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0.007281</w:t>
            </w:r>
          </w:p>
        </w:tc>
      </w:tr>
      <w:tr w:rsidR="004872B5" w:rsidRPr="004872B5" w14:paraId="5A942C2A" w14:textId="77777777" w:rsidTr="00440739">
        <w:trPr>
          <w:trHeight w:val="285"/>
          <w:jc w:val="center"/>
        </w:trPr>
        <w:tc>
          <w:tcPr>
            <w:tcW w:w="567" w:type="dxa"/>
            <w:vMerge/>
            <w:tcBorders>
              <w:top w:val="nil"/>
              <w:left w:val="nil"/>
              <w:bottom w:val="nil"/>
              <w:right w:val="nil"/>
            </w:tcBorders>
            <w:vAlign w:val="center"/>
            <w:hideMark/>
          </w:tcPr>
          <w:p w14:paraId="387B7E97"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4B427F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E6E29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232842B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FD8A733"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16F1E41"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深证成指</w:t>
            </w:r>
          </w:p>
        </w:tc>
        <w:tc>
          <w:tcPr>
            <w:tcW w:w="1134" w:type="dxa"/>
            <w:tcBorders>
              <w:top w:val="nil"/>
              <w:left w:val="nil"/>
              <w:bottom w:val="nil"/>
              <w:right w:val="nil"/>
            </w:tcBorders>
            <w:shd w:val="clear" w:color="auto" w:fill="auto"/>
            <w:noWrap/>
            <w:vAlign w:val="bottom"/>
            <w:hideMark/>
          </w:tcPr>
          <w:p w14:paraId="1EE852A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51B846A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nil"/>
              <w:left w:val="nil"/>
              <w:bottom w:val="nil"/>
              <w:right w:val="nil"/>
            </w:tcBorders>
            <w:shd w:val="clear" w:color="auto" w:fill="auto"/>
            <w:noWrap/>
            <w:vAlign w:val="bottom"/>
            <w:hideMark/>
          </w:tcPr>
          <w:p w14:paraId="257B8CE3"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02FBF1F3" w14:textId="77777777" w:rsidTr="00440739">
        <w:trPr>
          <w:trHeight w:val="285"/>
          <w:jc w:val="center"/>
        </w:trPr>
        <w:tc>
          <w:tcPr>
            <w:tcW w:w="567" w:type="dxa"/>
            <w:vMerge/>
            <w:tcBorders>
              <w:top w:val="nil"/>
              <w:left w:val="nil"/>
              <w:bottom w:val="nil"/>
              <w:right w:val="nil"/>
            </w:tcBorders>
            <w:vAlign w:val="center"/>
            <w:hideMark/>
          </w:tcPr>
          <w:p w14:paraId="059314FD"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698EFF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643BEB6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-0.00032</w:t>
            </w:r>
          </w:p>
        </w:tc>
        <w:tc>
          <w:tcPr>
            <w:tcW w:w="1564" w:type="dxa"/>
            <w:tcBorders>
              <w:top w:val="nil"/>
              <w:left w:val="nil"/>
              <w:bottom w:val="nil"/>
              <w:right w:val="nil"/>
            </w:tcBorders>
            <w:shd w:val="clear" w:color="auto" w:fill="auto"/>
            <w:noWrap/>
            <w:vAlign w:val="bottom"/>
            <w:hideMark/>
          </w:tcPr>
          <w:p w14:paraId="69C3435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0.000301</w:t>
            </w:r>
          </w:p>
        </w:tc>
      </w:tr>
      <w:tr w:rsidR="004872B5" w:rsidRPr="004872B5" w14:paraId="230FD2DA" w14:textId="77777777" w:rsidTr="00440739">
        <w:trPr>
          <w:trHeight w:val="285"/>
          <w:jc w:val="center"/>
        </w:trPr>
        <w:tc>
          <w:tcPr>
            <w:tcW w:w="567" w:type="dxa"/>
            <w:vMerge/>
            <w:tcBorders>
              <w:top w:val="nil"/>
              <w:left w:val="nil"/>
              <w:bottom w:val="nil"/>
              <w:right w:val="nil"/>
            </w:tcBorders>
            <w:vAlign w:val="center"/>
            <w:hideMark/>
          </w:tcPr>
          <w:p w14:paraId="167D9C5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BE4989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3BBFC7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0.018671</w:t>
            </w:r>
          </w:p>
        </w:tc>
        <w:tc>
          <w:tcPr>
            <w:tcW w:w="1564" w:type="dxa"/>
            <w:tcBorders>
              <w:top w:val="nil"/>
              <w:left w:val="nil"/>
              <w:bottom w:val="nil"/>
              <w:right w:val="nil"/>
            </w:tcBorders>
            <w:shd w:val="clear" w:color="auto" w:fill="auto"/>
            <w:noWrap/>
            <w:vAlign w:val="bottom"/>
            <w:hideMark/>
          </w:tcPr>
          <w:p w14:paraId="4751AAB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0.000488</w:t>
            </w:r>
          </w:p>
        </w:tc>
      </w:tr>
      <w:tr w:rsidR="004872B5" w:rsidRPr="004872B5" w14:paraId="45DB5107" w14:textId="77777777" w:rsidTr="00440739">
        <w:trPr>
          <w:trHeight w:val="285"/>
          <w:jc w:val="center"/>
        </w:trPr>
        <w:tc>
          <w:tcPr>
            <w:tcW w:w="567" w:type="dxa"/>
            <w:vMerge/>
            <w:tcBorders>
              <w:top w:val="nil"/>
              <w:left w:val="nil"/>
              <w:bottom w:val="nil"/>
              <w:right w:val="nil"/>
            </w:tcBorders>
            <w:vAlign w:val="center"/>
            <w:hideMark/>
          </w:tcPr>
          <w:p w14:paraId="3118C5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E6CADB9"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4A51494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-0.0861</w:t>
            </w:r>
          </w:p>
        </w:tc>
        <w:tc>
          <w:tcPr>
            <w:tcW w:w="1564" w:type="dxa"/>
            <w:tcBorders>
              <w:top w:val="nil"/>
              <w:left w:val="nil"/>
              <w:bottom w:val="nil"/>
              <w:right w:val="nil"/>
            </w:tcBorders>
            <w:shd w:val="clear" w:color="auto" w:fill="auto"/>
            <w:noWrap/>
            <w:vAlign w:val="bottom"/>
            <w:hideMark/>
          </w:tcPr>
          <w:p w14:paraId="2B75160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1.21E-05</w:t>
            </w:r>
          </w:p>
        </w:tc>
      </w:tr>
      <w:tr w:rsidR="004872B5" w:rsidRPr="004872B5" w14:paraId="788C5211" w14:textId="77777777" w:rsidTr="00440739">
        <w:trPr>
          <w:trHeight w:val="285"/>
          <w:jc w:val="center"/>
        </w:trPr>
        <w:tc>
          <w:tcPr>
            <w:tcW w:w="567" w:type="dxa"/>
            <w:vMerge/>
            <w:tcBorders>
              <w:top w:val="nil"/>
              <w:left w:val="nil"/>
              <w:bottom w:val="nil"/>
              <w:right w:val="nil"/>
            </w:tcBorders>
            <w:vAlign w:val="center"/>
            <w:hideMark/>
          </w:tcPr>
          <w:p w14:paraId="09C059C1"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333FFD48"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E4878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0.091615</w:t>
            </w:r>
          </w:p>
        </w:tc>
        <w:tc>
          <w:tcPr>
            <w:tcW w:w="1564" w:type="dxa"/>
            <w:tcBorders>
              <w:top w:val="nil"/>
              <w:left w:val="nil"/>
              <w:bottom w:val="nil"/>
              <w:right w:val="nil"/>
            </w:tcBorders>
            <w:shd w:val="clear" w:color="auto" w:fill="auto"/>
            <w:noWrap/>
            <w:vAlign w:val="bottom"/>
            <w:hideMark/>
          </w:tcPr>
          <w:p w14:paraId="32300DC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0.006324</w:t>
            </w:r>
          </w:p>
        </w:tc>
      </w:tr>
      <w:tr w:rsidR="004872B5" w:rsidRPr="004872B5" w14:paraId="7E867023" w14:textId="77777777" w:rsidTr="006536B8">
        <w:trPr>
          <w:trHeight w:val="285"/>
          <w:jc w:val="center"/>
        </w:trPr>
        <w:tc>
          <w:tcPr>
            <w:tcW w:w="567" w:type="dxa"/>
            <w:vMerge/>
            <w:tcBorders>
              <w:top w:val="nil"/>
              <w:left w:val="nil"/>
              <w:bottom w:val="single" w:sz="4" w:space="0" w:color="auto"/>
              <w:right w:val="nil"/>
            </w:tcBorders>
            <w:vAlign w:val="center"/>
            <w:hideMark/>
          </w:tcPr>
          <w:p w14:paraId="3A3555C8"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single" w:sz="4" w:space="0" w:color="auto"/>
              <w:right w:val="nil"/>
            </w:tcBorders>
            <w:shd w:val="clear" w:color="auto" w:fill="auto"/>
            <w:noWrap/>
            <w:vAlign w:val="bottom"/>
            <w:hideMark/>
          </w:tcPr>
          <w:p w14:paraId="2B289A05"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single" w:sz="4" w:space="0" w:color="auto"/>
              <w:right w:val="nil"/>
            </w:tcBorders>
            <w:shd w:val="clear" w:color="auto" w:fill="auto"/>
            <w:noWrap/>
            <w:vAlign w:val="bottom"/>
            <w:hideMark/>
          </w:tcPr>
          <w:p w14:paraId="4FA98CC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single" w:sz="4" w:space="0" w:color="auto"/>
              <w:right w:val="nil"/>
            </w:tcBorders>
            <w:shd w:val="clear" w:color="auto" w:fill="auto"/>
            <w:noWrap/>
            <w:vAlign w:val="bottom"/>
            <w:hideMark/>
          </w:tcPr>
          <w:p w14:paraId="368A9B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bl>
    <w:p w14:paraId="423D17DF" w14:textId="77777777" w:rsidR="00D124B9" w:rsidRDefault="00D124B9" w:rsidP="00283723">
      <w:pPr>
        <w:pStyle w:val="ac"/>
        <w:ind w:firstLine="420"/>
        <w:jc w:val="center"/>
      </w:pPr>
    </w:p>
    <w:p w14:paraId="7D05AB53" w14:textId="03716FA9" w:rsidR="000F15F3" w:rsidRDefault="000F15F3" w:rsidP="000F15F3">
      <w:pPr>
        <w:pStyle w:val="a1"/>
        <w:spacing w:before="156" w:after="156"/>
      </w:pPr>
      <w:bookmarkStart w:id="31" w:name="_Toc3381491"/>
      <w:r>
        <w:rPr>
          <w:rFonts w:hint="eastAsia"/>
        </w:rPr>
        <w:t>数据分段</w:t>
      </w:r>
      <w:bookmarkEnd w:id="31"/>
    </w:p>
    <w:p w14:paraId="47FA55EB" w14:textId="77777777" w:rsidR="005B0BBB" w:rsidRDefault="0074188E" w:rsidP="00370FE7">
      <w:pPr>
        <w:pStyle w:val="ac"/>
        <w:ind w:firstLine="420"/>
      </w:pPr>
      <w:r>
        <w:rPr>
          <w:rFonts w:hint="eastAsia"/>
        </w:rPr>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32" w:name="_Toc3381492"/>
      <w:r>
        <w:rPr>
          <w:rFonts w:hint="eastAsia"/>
        </w:rPr>
        <w:t>日历效应检验结果分析</w:t>
      </w:r>
      <w:bookmarkEnd w:id="32"/>
    </w:p>
    <w:p w14:paraId="15AABC78" w14:textId="249A1DBF" w:rsidR="004A29D3" w:rsidRDefault="000F21E4" w:rsidP="00E840CF">
      <w:pPr>
        <w:pStyle w:val="a1"/>
        <w:spacing w:before="156" w:after="156"/>
      </w:pPr>
      <w:bookmarkStart w:id="33" w:name="_Toc3381493"/>
      <w:r>
        <w:rPr>
          <w:rFonts w:hint="eastAsia"/>
        </w:rPr>
        <w:t>模型</w:t>
      </w:r>
      <w:r w:rsidR="00DE4E3B">
        <w:rPr>
          <w:rFonts w:hint="eastAsia"/>
        </w:rPr>
        <w:t>分布</w:t>
      </w:r>
      <w:r>
        <w:rPr>
          <w:rFonts w:hint="eastAsia"/>
        </w:rPr>
        <w:t>假设</w:t>
      </w:r>
      <w:r w:rsidR="00DE4E3B">
        <w:rPr>
          <w:rFonts w:hint="eastAsia"/>
        </w:rPr>
        <w:t>确定结果</w:t>
      </w:r>
      <w:bookmarkEnd w:id="33"/>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2B7A21">
        <w:trPr>
          <w:trHeight w:val="480"/>
        </w:trPr>
        <w:tc>
          <w:tcPr>
            <w:tcW w:w="1074" w:type="dxa"/>
            <w:tcBorders>
              <w:top w:val="single" w:sz="4" w:space="0" w:color="auto"/>
              <w:left w:val="nil"/>
              <w:bottom w:val="sing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lastRenderedPageBreak/>
              <w:t>股指名称</w:t>
            </w:r>
          </w:p>
        </w:tc>
        <w:tc>
          <w:tcPr>
            <w:tcW w:w="1066" w:type="dxa"/>
            <w:tcBorders>
              <w:top w:val="single" w:sz="4" w:space="0" w:color="auto"/>
              <w:left w:val="nil"/>
              <w:bottom w:val="single" w:sz="4" w:space="0" w:color="auto"/>
              <w:right w:val="nil"/>
            </w:tcBorders>
            <w:shd w:val="clear" w:color="auto" w:fill="auto"/>
            <w:noWrap/>
            <w:vAlign w:val="center"/>
            <w:hideMark/>
          </w:tcPr>
          <w:p w14:paraId="5F6542A6" w14:textId="4A7D78C5"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sing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sing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sing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sing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sing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sing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2B7A21">
        <w:trPr>
          <w:trHeight w:hRule="exact" w:val="567"/>
        </w:trPr>
        <w:tc>
          <w:tcPr>
            <w:tcW w:w="1074" w:type="dxa"/>
            <w:vMerge w:val="restart"/>
            <w:tcBorders>
              <w:top w:val="sing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sing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sing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sing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sing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sing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sing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sing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w:t>
      </w:r>
      <w:proofErr w:type="gramEnd"/>
      <w:r>
        <w:rPr>
          <w:rFonts w:hint="eastAsia"/>
        </w:rPr>
        <w:t>归结果；其次是股指对数收益率序列的GARCH效应检验，上证综指对数收益率平方的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25636919"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71C3A963" w14:textId="3621420D" w:rsidR="000D437C" w:rsidRPr="000D437C" w:rsidRDefault="000D437C" w:rsidP="000D437C">
      <w:pPr>
        <w:pStyle w:val="ac"/>
        <w:ind w:firstLine="422"/>
        <w:jc w:val="center"/>
        <w:rPr>
          <w:b/>
        </w:rPr>
      </w:pPr>
      <w:r w:rsidRPr="000D437C">
        <w:rPr>
          <w:rFonts w:hint="eastAsia"/>
          <w:b/>
        </w:rPr>
        <w:t>图3-</w:t>
      </w:r>
      <w:r w:rsidRPr="000D437C">
        <w:rPr>
          <w:b/>
        </w:rPr>
        <w:t xml:space="preserve">1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sidR="007230D0">
        <w:rPr>
          <w:rFonts w:hint="eastAsia"/>
          <w:b/>
        </w:rPr>
        <w:t>-</w:t>
      </w:r>
      <w:r w:rsidR="009E2E2E">
        <w:rPr>
          <w:rFonts w:hint="eastAsia"/>
          <w:b/>
        </w:rPr>
        <w:t>正态分布</w:t>
      </w:r>
    </w:p>
    <w:p w14:paraId="6A8AD78C" w14:textId="3B3C2602" w:rsidR="009E2E2E" w:rsidRDefault="00503E15" w:rsidP="00436815">
      <w:pPr>
        <w:pStyle w:val="ac"/>
        <w:ind w:firstLine="420"/>
        <w:jc w:val="center"/>
        <w:rPr>
          <w:color w:val="FF0000"/>
        </w:rPr>
      </w:pPr>
      <w:r>
        <w:rPr>
          <w:noProof/>
          <w:color w:val="FF0000"/>
        </w:rPr>
        <w:drawing>
          <wp:inline distT="0" distB="0" distL="0" distR="0" wp14:anchorId="22534F8F" wp14:editId="428D211D">
            <wp:extent cx="2949934" cy="233799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zzs正态qq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684" cy="2497898"/>
                    </a:xfrm>
                    <a:prstGeom prst="rect">
                      <a:avLst/>
                    </a:prstGeom>
                  </pic:spPr>
                </pic:pic>
              </a:graphicData>
            </a:graphic>
          </wp:inline>
        </w:drawing>
      </w:r>
    </w:p>
    <w:p w14:paraId="0D8AF7B7" w14:textId="68BCEBCE" w:rsidR="009E2E2E" w:rsidRDefault="009E2E2E" w:rsidP="00436815">
      <w:pPr>
        <w:pStyle w:val="ac"/>
        <w:ind w:firstLine="422"/>
        <w:jc w:val="center"/>
        <w:rPr>
          <w:color w:val="FF0000"/>
        </w:rPr>
      </w:pPr>
      <w:r w:rsidRPr="000D437C">
        <w:rPr>
          <w:rFonts w:hint="eastAsia"/>
          <w:b/>
        </w:rPr>
        <w:t>图3-</w:t>
      </w:r>
      <w:r>
        <w:rPr>
          <w:b/>
        </w:rPr>
        <w:t>2</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-学生t分布</w:t>
      </w:r>
    </w:p>
    <w:p w14:paraId="0FB274A8" w14:textId="485B4801" w:rsidR="009E2E2E" w:rsidRDefault="00503E15" w:rsidP="00436815">
      <w:pPr>
        <w:pStyle w:val="ac"/>
        <w:ind w:firstLine="420"/>
        <w:jc w:val="center"/>
        <w:rPr>
          <w:color w:val="FF0000"/>
        </w:rPr>
      </w:pPr>
      <w:r>
        <w:rPr>
          <w:noProof/>
          <w:color w:val="FF0000"/>
        </w:rPr>
        <w:lastRenderedPageBreak/>
        <w:drawing>
          <wp:inline distT="0" distB="0" distL="0" distR="0" wp14:anchorId="3AF22023" wp14:editId="6FE892F9">
            <wp:extent cx="3236181" cy="2549672"/>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zs学生-tqq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738" cy="2744713"/>
                    </a:xfrm>
                    <a:prstGeom prst="rect">
                      <a:avLst/>
                    </a:prstGeom>
                  </pic:spPr>
                </pic:pic>
              </a:graphicData>
            </a:graphic>
          </wp:inline>
        </w:drawing>
      </w:r>
    </w:p>
    <w:p w14:paraId="70E6176A" w14:textId="7AED1CDA" w:rsidR="00054D3F" w:rsidRDefault="00054D3F" w:rsidP="00436815">
      <w:pPr>
        <w:pStyle w:val="ac"/>
        <w:ind w:firstLine="422"/>
        <w:jc w:val="center"/>
        <w:rPr>
          <w:color w:val="FF0000"/>
        </w:rPr>
      </w:pPr>
      <w:r w:rsidRPr="000D437C">
        <w:rPr>
          <w:rFonts w:hint="eastAsia"/>
          <w:b/>
        </w:rPr>
        <w:t>图3-</w:t>
      </w:r>
      <w:r>
        <w:rPr>
          <w:b/>
        </w:rPr>
        <w:t>3</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-广义误差分布</w:t>
      </w:r>
    </w:p>
    <w:p w14:paraId="393A9F30" w14:textId="6B7C0400" w:rsidR="00436815" w:rsidRPr="00503E15" w:rsidRDefault="00503E15" w:rsidP="00436815">
      <w:pPr>
        <w:pStyle w:val="ac"/>
        <w:ind w:firstLine="420"/>
        <w:jc w:val="center"/>
        <w:rPr>
          <w:color w:val="FF0000"/>
        </w:rPr>
      </w:pPr>
      <w:r>
        <w:rPr>
          <w:noProof/>
          <w:color w:val="FF0000"/>
        </w:rPr>
        <w:drawing>
          <wp:inline distT="0" distB="0" distL="0" distR="0" wp14:anchorId="238730E7" wp14:editId="7A7C3D3A">
            <wp:extent cx="3283889" cy="2595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zs广义误差qq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0421" cy="2647745"/>
                    </a:xfrm>
                    <a:prstGeom prst="rect">
                      <a:avLst/>
                    </a:prstGeom>
                  </pic:spPr>
                </pic:pic>
              </a:graphicData>
            </a:graphic>
          </wp:inline>
        </w:drawing>
      </w:r>
    </w:p>
    <w:p w14:paraId="45613DBA" w14:textId="29B3DE6F" w:rsidR="006F50DE" w:rsidRDefault="006F50DE" w:rsidP="006F50DE">
      <w:pPr>
        <w:pStyle w:val="ac"/>
        <w:ind w:firstLine="420"/>
      </w:pPr>
      <w:r>
        <w:rPr>
          <w:rFonts w:hint="eastAsia"/>
        </w:rPr>
        <w:t>关于创业板指与深证成指与上证综指相似，结果如表</w:t>
      </w:r>
      <w:r w:rsidR="001D3992">
        <w:rPr>
          <w:rFonts w:hint="eastAsia"/>
        </w:rPr>
        <w:t>3-</w:t>
      </w:r>
      <w:r w:rsidR="001D3992">
        <w:t>2</w:t>
      </w:r>
      <w:r>
        <w:rPr>
          <w:rFonts w:hint="eastAsia"/>
        </w:rPr>
        <w:t>所示，均选择广义误差分布作为扰动项的分布假设。</w:t>
      </w:r>
    </w:p>
    <w:p w14:paraId="5A2B07EE" w14:textId="174851DA" w:rsidR="00591302" w:rsidRDefault="00073A63" w:rsidP="00073A63">
      <w:pPr>
        <w:pStyle w:val="a1"/>
        <w:spacing w:before="156" w:after="156"/>
      </w:pPr>
      <w:bookmarkStart w:id="34" w:name="_Toc3381494"/>
      <w:r>
        <w:rPr>
          <w:rFonts w:hint="eastAsia"/>
        </w:rPr>
        <w:t>日历效应检验结果</w:t>
      </w:r>
      <w:bookmarkEnd w:id="34"/>
    </w:p>
    <w:p w14:paraId="200BCAA4" w14:textId="77777777" w:rsidR="002D4751" w:rsidRDefault="002D4751" w:rsidP="002D4751">
      <w:pPr>
        <w:pStyle w:val="ac"/>
        <w:ind w:firstLine="420"/>
      </w:pPr>
      <w:r>
        <w:rPr>
          <w:rFonts w:hint="eastAsia"/>
        </w:rPr>
        <w:t>各股指各时段的日历效应结果如下表所示：</w:t>
      </w:r>
    </w:p>
    <w:p w14:paraId="60333F4B" w14:textId="53133ADD" w:rsidR="008D3A63" w:rsidRPr="005A5A75" w:rsidRDefault="008D3A63" w:rsidP="008D3A63">
      <w:pPr>
        <w:pStyle w:val="ac"/>
        <w:ind w:firstLine="422"/>
        <w:jc w:val="center"/>
        <w:rPr>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48" w:type="dxa"/>
        <w:tblInd w:w="-1145" w:type="dxa"/>
        <w:tblLook w:val="04A0" w:firstRow="1" w:lastRow="0" w:firstColumn="1" w:lastColumn="0" w:noHBand="0" w:noVBand="1"/>
      </w:tblPr>
      <w:tblGrid>
        <w:gridCol w:w="1080"/>
        <w:gridCol w:w="1116"/>
        <w:gridCol w:w="1080"/>
        <w:gridCol w:w="1000"/>
        <w:gridCol w:w="1116"/>
        <w:gridCol w:w="1080"/>
        <w:gridCol w:w="1000"/>
        <w:gridCol w:w="1328"/>
        <w:gridCol w:w="1134"/>
        <w:gridCol w:w="856"/>
      </w:tblGrid>
      <w:tr w:rsidR="008D3A63" w:rsidRPr="00A23CE4" w14:paraId="5E9CB4B2" w14:textId="77777777" w:rsidTr="002B7A21">
        <w:trPr>
          <w:trHeight w:val="270"/>
        </w:trPr>
        <w:tc>
          <w:tcPr>
            <w:tcW w:w="1080" w:type="dxa"/>
            <w:tcBorders>
              <w:top w:val="single" w:sz="4" w:space="0" w:color="auto"/>
              <w:left w:val="nil"/>
              <w:bottom w:val="single" w:sz="4" w:space="0" w:color="auto"/>
              <w:right w:val="nil"/>
            </w:tcBorders>
            <w:shd w:val="clear" w:color="auto" w:fill="auto"/>
            <w:noWrap/>
            <w:vAlign w:val="center"/>
            <w:hideMark/>
          </w:tcPr>
          <w:p w14:paraId="2910107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single" w:sz="4" w:space="0" w:color="auto"/>
              <w:right w:val="nil"/>
            </w:tcBorders>
            <w:shd w:val="clear" w:color="auto" w:fill="auto"/>
            <w:noWrap/>
            <w:vAlign w:val="center"/>
            <w:hideMark/>
          </w:tcPr>
          <w:p w14:paraId="685568F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2FA9D375"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single" w:sz="4" w:space="0" w:color="auto"/>
              <w:right w:val="nil"/>
            </w:tcBorders>
            <w:shd w:val="clear" w:color="auto" w:fill="auto"/>
            <w:noWrap/>
            <w:vAlign w:val="center"/>
            <w:hideMark/>
          </w:tcPr>
          <w:p w14:paraId="2121FAA9"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single" w:sz="4" w:space="0" w:color="auto"/>
              <w:right w:val="nil"/>
            </w:tcBorders>
            <w:shd w:val="clear" w:color="auto" w:fill="auto"/>
            <w:noWrap/>
            <w:vAlign w:val="center"/>
            <w:hideMark/>
          </w:tcPr>
          <w:p w14:paraId="2F99DFFD"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3D32C866"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single" w:sz="4" w:space="0" w:color="auto"/>
              <w:right w:val="nil"/>
            </w:tcBorders>
            <w:shd w:val="clear" w:color="auto" w:fill="auto"/>
            <w:noWrap/>
            <w:vAlign w:val="center"/>
            <w:hideMark/>
          </w:tcPr>
          <w:p w14:paraId="603EC293"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328" w:type="dxa"/>
            <w:tcBorders>
              <w:top w:val="single" w:sz="4" w:space="0" w:color="auto"/>
              <w:left w:val="nil"/>
              <w:bottom w:val="single" w:sz="4" w:space="0" w:color="auto"/>
              <w:right w:val="nil"/>
            </w:tcBorders>
            <w:shd w:val="clear" w:color="auto" w:fill="auto"/>
            <w:noWrap/>
            <w:vAlign w:val="center"/>
            <w:hideMark/>
          </w:tcPr>
          <w:p w14:paraId="62BB7337"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134" w:type="dxa"/>
            <w:tcBorders>
              <w:top w:val="single" w:sz="4" w:space="0" w:color="auto"/>
              <w:left w:val="nil"/>
              <w:bottom w:val="single" w:sz="4" w:space="0" w:color="auto"/>
              <w:right w:val="nil"/>
            </w:tcBorders>
            <w:shd w:val="clear" w:color="auto" w:fill="auto"/>
            <w:noWrap/>
            <w:vAlign w:val="center"/>
            <w:hideMark/>
          </w:tcPr>
          <w:p w14:paraId="4C4001D0"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假日效应</w:t>
            </w:r>
          </w:p>
        </w:tc>
        <w:tc>
          <w:tcPr>
            <w:tcW w:w="714" w:type="dxa"/>
            <w:tcBorders>
              <w:top w:val="single" w:sz="4" w:space="0" w:color="auto"/>
              <w:left w:val="nil"/>
              <w:bottom w:val="single" w:sz="4" w:space="0" w:color="auto"/>
              <w:right w:val="nil"/>
            </w:tcBorders>
            <w:shd w:val="clear" w:color="auto" w:fill="auto"/>
            <w:noWrap/>
            <w:vAlign w:val="center"/>
            <w:hideMark/>
          </w:tcPr>
          <w:p w14:paraId="4E925391"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2B7A21">
        <w:trPr>
          <w:trHeight w:hRule="exact" w:val="680"/>
        </w:trPr>
        <w:tc>
          <w:tcPr>
            <w:tcW w:w="1080" w:type="dxa"/>
            <w:tcBorders>
              <w:top w:val="sing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sing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single" w:sz="4" w:space="0" w:color="auto"/>
              <w:left w:val="nil"/>
              <w:bottom w:val="nil"/>
              <w:right w:val="nil"/>
            </w:tcBorders>
            <w:shd w:val="clear" w:color="auto" w:fill="auto"/>
            <w:noWrap/>
            <w:vAlign w:val="center"/>
            <w:hideMark/>
          </w:tcPr>
          <w:p w14:paraId="336782B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sing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sing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single" w:sz="4" w:space="0" w:color="auto"/>
              <w:left w:val="nil"/>
              <w:bottom w:val="nil"/>
              <w:right w:val="nil"/>
            </w:tcBorders>
            <w:shd w:val="clear" w:color="auto" w:fill="auto"/>
            <w:noWrap/>
            <w:vAlign w:val="center"/>
            <w:hideMark/>
          </w:tcPr>
          <w:p w14:paraId="1CB04A1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sing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328" w:type="dxa"/>
            <w:tcBorders>
              <w:top w:val="sing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无法充分建模</w:t>
            </w:r>
          </w:p>
        </w:tc>
        <w:tc>
          <w:tcPr>
            <w:tcW w:w="1134" w:type="dxa"/>
            <w:tcBorders>
              <w:top w:val="single" w:sz="4" w:space="0" w:color="auto"/>
              <w:left w:val="nil"/>
              <w:bottom w:val="nil"/>
              <w:right w:val="nil"/>
            </w:tcBorders>
            <w:shd w:val="clear" w:color="auto" w:fill="auto"/>
            <w:noWrap/>
            <w:vAlign w:val="center"/>
            <w:hideMark/>
          </w:tcPr>
          <w:p w14:paraId="468694D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w:t>
            </w:r>
          </w:p>
        </w:tc>
        <w:tc>
          <w:tcPr>
            <w:tcW w:w="714" w:type="dxa"/>
            <w:tcBorders>
              <w:top w:val="single" w:sz="4" w:space="0" w:color="auto"/>
              <w:left w:val="nil"/>
              <w:bottom w:val="nil"/>
              <w:right w:val="nil"/>
            </w:tcBorders>
            <w:shd w:val="clear" w:color="auto" w:fill="auto"/>
            <w:noWrap/>
            <w:vAlign w:val="center"/>
            <w:hideMark/>
          </w:tcPr>
          <w:p w14:paraId="3409DC6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4A6AD9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95F0BB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455FCC2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726FCA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9CC927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81C41D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lastRenderedPageBreak/>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2AEFFBA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5397033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5F2AAE8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376D2F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3427827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6AC52A54"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11C9F64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BF9B0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423F1D">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bl>
    <w:p w14:paraId="70EFBAAF" w14:textId="77777777" w:rsidR="009E3F51" w:rsidRDefault="009E3F51" w:rsidP="002D4751">
      <w:pPr>
        <w:pStyle w:val="ac"/>
        <w:ind w:firstLine="420"/>
      </w:pPr>
    </w:p>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1时段（即时段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20A48A69" w14:textId="3EEF2BD4" w:rsidR="00DF08F3" w:rsidRDefault="00EB0309" w:rsidP="000F67C5">
      <w:pPr>
        <w:pStyle w:val="ac"/>
        <w:ind w:firstLine="420"/>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5" w:name="_Toc3381495"/>
      <w:r>
        <w:t>中国股市日历效应影响因素实证分析</w:t>
      </w:r>
      <w:bookmarkEnd w:id="35"/>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36" w:name="_Toc3381496"/>
      <w:r>
        <w:t>日历效应影响因素检验方法</w:t>
      </w:r>
      <w:bookmarkEnd w:id="36"/>
    </w:p>
    <w:p w14:paraId="1A8DF06A" w14:textId="65A7ADFA" w:rsidR="00530B3D" w:rsidRDefault="00530B3D" w:rsidP="00530B3D">
      <w:pPr>
        <w:pStyle w:val="a1"/>
        <w:spacing w:before="156" w:after="156"/>
      </w:pPr>
      <w:bookmarkStart w:id="37" w:name="_Toc3381497"/>
      <w:r>
        <w:rPr>
          <w:rFonts w:hint="eastAsia"/>
        </w:rPr>
        <w:t>检验方法概述</w:t>
      </w:r>
      <w:bookmarkEnd w:id="37"/>
    </w:p>
    <w:p w14:paraId="23D0ED84" w14:textId="7444088A"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。本文通过添加各因素与日历效应的交互项到R-</w:t>
      </w:r>
      <w:proofErr w:type="spellStart"/>
      <w:r w:rsidR="00D670BB">
        <w:rPr>
          <w:rFonts w:hint="eastAsia"/>
        </w:rPr>
        <w:t>Garch</w:t>
      </w:r>
      <w:proofErr w:type="spellEnd"/>
      <w:r w:rsidR="00D670BB">
        <w:rPr>
          <w:rFonts w:hint="eastAsia"/>
        </w:rPr>
        <w:t>模型的均值方程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8" w:name="_Toc3381498"/>
      <w:r>
        <w:rPr>
          <w:rFonts w:hint="eastAsia"/>
        </w:rPr>
        <w:t>检验模型设定与解释</w:t>
      </w:r>
      <w:bookmarkEnd w:id="38"/>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变量的交互项，均值方程变为：</w:t>
      </w:r>
    </w:p>
    <w:p w14:paraId="22711E3F" w14:textId="77777777" w:rsidR="00D729B6" w:rsidRDefault="001C761C"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1C761C"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1C761C"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1C761C"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9" w:name="_Toc3381499"/>
      <w:r>
        <w:rPr>
          <w:rFonts w:hint="eastAsia"/>
        </w:rPr>
        <w:t>日历效应影响因素假设</w:t>
      </w:r>
      <w:bookmarkEnd w:id="39"/>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5C75EAF5" w:rsidR="007C3636" w:rsidRDefault="007C3636" w:rsidP="007C3636">
      <w:pPr>
        <w:ind w:firstLineChars="200" w:firstLine="420"/>
        <w:rPr>
          <w:rFonts w:ascii="宋体" w:eastAsia="宋体" w:hAnsi="宋体"/>
        </w:rPr>
      </w:pPr>
      <w:r>
        <w:rPr>
          <w:rFonts w:ascii="宋体" w:eastAsia="宋体" w:hAnsi="宋体" w:hint="eastAsia"/>
        </w:rPr>
        <w:t>（1）代表股市风险的指标越大</w:t>
      </w:r>
      <w:r w:rsidR="007E7AAA">
        <w:rPr>
          <w:rFonts w:ascii="宋体" w:eastAsia="宋体" w:hAnsi="宋体" w:hint="eastAsia"/>
        </w:rPr>
        <w:t>，加强正日历效应并减弱负日历效应</w:t>
      </w:r>
      <w:r>
        <w:rPr>
          <w:rFonts w:ascii="宋体" w:eastAsia="宋体" w:hAnsi="宋体" w:hint="eastAsia"/>
        </w:rPr>
        <w:t>；</w:t>
      </w:r>
    </w:p>
    <w:p w14:paraId="1967D6A3" w14:textId="4AAAAFAF"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r w:rsidR="007E7AAA">
        <w:rPr>
          <w:rFonts w:ascii="宋体" w:eastAsia="宋体" w:hAnsi="宋体" w:hint="eastAsia"/>
        </w:rPr>
        <w:t>并减弱负日历效应</w:t>
      </w:r>
      <w:r>
        <w:rPr>
          <w:rFonts w:ascii="宋体" w:eastAsia="宋体" w:hAnsi="宋体" w:hint="eastAsia"/>
        </w:rPr>
        <w:t>；</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6D7458BB"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4BBCB61B"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lastRenderedPageBreak/>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40" w:name="_Toc3381500"/>
      <w:r>
        <w:rPr>
          <w:rFonts w:hint="eastAsia"/>
        </w:rPr>
        <w:t>日历效应影响因素变量构造</w:t>
      </w:r>
      <w:bookmarkEnd w:id="40"/>
    </w:p>
    <w:p w14:paraId="5C73C1D6" w14:textId="3A3AA235" w:rsidR="00BA228E" w:rsidRDefault="00BA228E" w:rsidP="00E532F8">
      <w:pPr>
        <w:pStyle w:val="a1"/>
        <w:spacing w:before="156" w:after="156"/>
      </w:pPr>
      <w:bookmarkStart w:id="41" w:name="_Toc3381501"/>
      <w:r>
        <w:t>风险因素</w:t>
      </w:r>
      <w:bookmarkEnd w:id="41"/>
    </w:p>
    <w:p w14:paraId="766D95E1" w14:textId="568D9A8A" w:rsidR="00950801" w:rsidRDefault="00950801" w:rsidP="00540895">
      <w:pPr>
        <w:pStyle w:val="ac"/>
        <w:ind w:firstLine="420"/>
      </w:pPr>
      <w:r>
        <w:rPr>
          <w:rFonts w:hint="eastAsia"/>
        </w:rPr>
        <w:t>风险因素变量</w:t>
      </w:r>
      <w:r w:rsidR="00256D7C">
        <w:rPr>
          <w:rFonts w:hint="eastAsia"/>
        </w:rPr>
        <w:t>的衡量</w:t>
      </w:r>
      <w:r w:rsidR="00A1798D">
        <w:rPr>
          <w:rFonts w:hint="eastAsia"/>
        </w:rPr>
        <w:t>指标选用</w:t>
      </w:r>
      <w:r w:rsidR="00FF158D">
        <w:rPr>
          <w:rFonts w:hint="eastAsia"/>
        </w:rPr>
        <w:t>股市平均市盈率</w:t>
      </w:r>
      <w:r w:rsidR="00A71ED8">
        <w:rPr>
          <w:rFonts w:hint="eastAsia"/>
        </w:rPr>
        <w:t>构造</w:t>
      </w:r>
      <w:r w:rsidR="007418B1">
        <w:rPr>
          <w:rFonts w:hint="eastAsia"/>
        </w:rPr>
        <w:t>。市盈率指标相较于</w:t>
      </w:r>
      <w:r w:rsidR="00340095">
        <w:rPr>
          <w:rFonts w:hint="eastAsia"/>
        </w:rPr>
        <w:t>标准差、峰度、偏度等收益率序列的</w:t>
      </w:r>
      <w:r w:rsidR="00647CBF">
        <w:rPr>
          <w:rFonts w:hint="eastAsia"/>
        </w:rPr>
        <w:t>高阶</w:t>
      </w:r>
      <w:proofErr w:type="gramStart"/>
      <w:r w:rsidR="00340095">
        <w:rPr>
          <w:rFonts w:hint="eastAsia"/>
        </w:rPr>
        <w:t>矩</w:t>
      </w:r>
      <w:proofErr w:type="gramEnd"/>
      <w:r w:rsidR="00340095">
        <w:rPr>
          <w:rFonts w:hint="eastAsia"/>
        </w:rPr>
        <w:t>估计</w:t>
      </w:r>
      <w:r w:rsidR="0082380A">
        <w:rPr>
          <w:rFonts w:hint="eastAsia"/>
        </w:rPr>
        <w:t>或者平均的贝塔系数</w:t>
      </w:r>
      <w:r w:rsidR="00340095">
        <w:rPr>
          <w:rFonts w:hint="eastAsia"/>
        </w:rPr>
        <w:t>指标</w:t>
      </w:r>
      <w:r w:rsidR="00D12FCF">
        <w:rPr>
          <w:rFonts w:hint="eastAsia"/>
        </w:rPr>
        <w:t>具有更直观</w:t>
      </w:r>
      <w:r w:rsidR="00BC61CB">
        <w:rPr>
          <w:rFonts w:hint="eastAsia"/>
        </w:rPr>
        <w:t>、收益与风险兼备</w:t>
      </w:r>
      <w:r w:rsidR="00D12FCF">
        <w:rPr>
          <w:rFonts w:hint="eastAsia"/>
        </w:rPr>
        <w:t>的特点</w:t>
      </w:r>
      <w:r w:rsidR="009413EB">
        <w:rPr>
          <w:rFonts w:hint="eastAsia"/>
        </w:rPr>
        <w:t>，且面向投资者更广</w:t>
      </w:r>
      <w:r w:rsidR="00C24313">
        <w:rPr>
          <w:rFonts w:hint="eastAsia"/>
        </w:rPr>
        <w:t>，</w:t>
      </w:r>
      <w:r w:rsidR="000E408A">
        <w:rPr>
          <w:rFonts w:hint="eastAsia"/>
        </w:rPr>
        <w:t>能够被广大中小投资者理解</w:t>
      </w:r>
      <w:r w:rsidR="00C65ECD">
        <w:rPr>
          <w:rFonts w:hint="eastAsia"/>
        </w:rPr>
        <w:t>。</w:t>
      </w:r>
      <w:r w:rsidR="00405CFF">
        <w:rPr>
          <w:rFonts w:hint="eastAsia"/>
        </w:rPr>
        <w:t>基本的市盈率指标公式为：</w:t>
      </w:r>
    </w:p>
    <w:p w14:paraId="7A38C380" w14:textId="3746D2FB" w:rsidR="00240C85" w:rsidRPr="007D58B7" w:rsidRDefault="006634E1" w:rsidP="006634E1">
      <w:pPr>
        <w:pStyle w:val="ac"/>
        <w:ind w:firstLineChars="0" w:firstLine="0"/>
        <w:rPr>
          <w:i/>
        </w:rPr>
      </w:pPr>
      <m:oMathPara>
        <m:oMath>
          <m:r>
            <w:rPr>
              <w:rFonts w:ascii="Cambria Math" w:hAnsi="Cambria Math" w:hint="eastAsia"/>
            </w:rPr>
            <m:t>市盈率</m:t>
          </m:r>
          <m:r>
            <w:rPr>
              <w:rFonts w:ascii="Cambria Math" w:hAnsi="Cambria Math" w:hint="eastAsia"/>
            </w:rPr>
            <m:t>=</m:t>
          </m:r>
          <m:f>
            <m:fPr>
              <m:type m:val="skw"/>
              <m:ctrlPr>
                <w:rPr>
                  <w:rFonts w:ascii="Cambria Math" w:hAnsi="Cambria Math"/>
                  <w:i/>
                </w:rPr>
              </m:ctrlPr>
            </m:fPr>
            <m:num>
              <m:r>
                <w:rPr>
                  <w:rFonts w:ascii="Cambria Math" w:hAnsi="Cambria Math" w:hint="eastAsia"/>
                </w:rPr>
                <m:t>股票价格</m:t>
              </m:r>
            </m:num>
            <m:den>
              <m:r>
                <w:rPr>
                  <w:rFonts w:ascii="Cambria Math" w:hAnsi="Cambria Math" w:hint="eastAsia"/>
                </w:rPr>
                <m:t>每股净利润</m:t>
              </m:r>
            </m:den>
          </m:f>
        </m:oMath>
      </m:oMathPara>
    </w:p>
    <w:p w14:paraId="3318BCC1" w14:textId="5D218B4E" w:rsidR="007D58B7" w:rsidRDefault="00C679B7" w:rsidP="002966F5">
      <w:pPr>
        <w:pStyle w:val="ac"/>
        <w:ind w:firstLine="420"/>
      </w:pPr>
      <w:r>
        <w:rPr>
          <w:rFonts w:hint="eastAsia"/>
        </w:rPr>
        <w:t>分子是股票短期供求均衡的结果</w:t>
      </w:r>
      <w:r w:rsidR="00926689">
        <w:rPr>
          <w:rFonts w:hint="eastAsia"/>
        </w:rPr>
        <w:t>，</w:t>
      </w:r>
      <w:r w:rsidR="008128D4">
        <w:rPr>
          <w:rFonts w:hint="eastAsia"/>
        </w:rPr>
        <w:t>分子越大说明</w:t>
      </w:r>
      <w:r w:rsidR="00D87135">
        <w:rPr>
          <w:rFonts w:hint="eastAsia"/>
        </w:rPr>
        <w:t>近期股票价格变高</w:t>
      </w:r>
      <w:r w:rsidR="00457D2A">
        <w:rPr>
          <w:rFonts w:hint="eastAsia"/>
        </w:rPr>
        <w:t>，投资者近期在该股票上获得资本利得</w:t>
      </w:r>
      <w:r w:rsidR="00122A11">
        <w:rPr>
          <w:rFonts w:hint="eastAsia"/>
        </w:rPr>
        <w:t>，同时也承担更高的风险</w:t>
      </w:r>
      <w:r w:rsidR="00644260">
        <w:rPr>
          <w:rFonts w:hint="eastAsia"/>
        </w:rPr>
        <w:t>；分母</w:t>
      </w:r>
      <w:r w:rsidR="00D2007D">
        <w:rPr>
          <w:rFonts w:hint="eastAsia"/>
        </w:rPr>
        <w:t>是股票价值的体现</w:t>
      </w:r>
      <w:r w:rsidR="00B91270">
        <w:rPr>
          <w:rFonts w:hint="eastAsia"/>
        </w:rPr>
        <w:t>，</w:t>
      </w:r>
      <w:r w:rsidR="0035057D">
        <w:rPr>
          <w:rFonts w:hint="eastAsia"/>
        </w:rPr>
        <w:t>是</w:t>
      </w:r>
      <w:r w:rsidR="00D77F24">
        <w:rPr>
          <w:rFonts w:hint="eastAsia"/>
        </w:rPr>
        <w:t>投资者对公司未来利润预测的重要基准</w:t>
      </w:r>
      <w:r w:rsidR="007C0F29">
        <w:rPr>
          <w:rFonts w:hint="eastAsia"/>
        </w:rPr>
        <w:t>，</w:t>
      </w:r>
      <w:r w:rsidR="00FE3EF2">
        <w:rPr>
          <w:rFonts w:hint="eastAsia"/>
        </w:rPr>
        <w:t>分母越大说明股票具有长期投资价值</w:t>
      </w:r>
      <w:r w:rsidR="00ED689D">
        <w:rPr>
          <w:rFonts w:hint="eastAsia"/>
        </w:rPr>
        <w:t>，相应的持有风险下降</w:t>
      </w:r>
      <w:r w:rsidR="006C02D1">
        <w:rPr>
          <w:rFonts w:hint="eastAsia"/>
        </w:rPr>
        <w:t>。</w:t>
      </w:r>
    </w:p>
    <w:p w14:paraId="6AEA28CB" w14:textId="59E68662" w:rsidR="007F1997" w:rsidRDefault="00F25804" w:rsidP="002966F5">
      <w:pPr>
        <w:pStyle w:val="ac"/>
        <w:ind w:firstLine="420"/>
      </w:pPr>
      <w:r>
        <w:rPr>
          <w:rFonts w:hint="eastAsia"/>
        </w:rPr>
        <w:t>市盈率</w:t>
      </w:r>
      <w:r w:rsidR="00304254">
        <w:rPr>
          <w:rFonts w:hint="eastAsia"/>
        </w:rPr>
        <w:t>高低需要一个基准</w:t>
      </w:r>
      <w:r w:rsidR="000B7453">
        <w:rPr>
          <w:rFonts w:hint="eastAsia"/>
        </w:rPr>
        <w:t>，相对于各类股票可以取用该股票所在行业的平均市盈率</w:t>
      </w:r>
      <w:r w:rsidR="00A76E05">
        <w:rPr>
          <w:rFonts w:hint="eastAsia"/>
        </w:rPr>
        <w:t>，</w:t>
      </w:r>
      <w:r w:rsidR="00DD5049">
        <w:rPr>
          <w:rFonts w:hint="eastAsia"/>
        </w:rPr>
        <w:t>而本文的研究对象是股票指数</w:t>
      </w:r>
      <w:r w:rsidR="00172CF8">
        <w:rPr>
          <w:rFonts w:hint="eastAsia"/>
        </w:rPr>
        <w:t>，因此选用</w:t>
      </w:r>
      <w:r w:rsidR="00CD3FDB">
        <w:rPr>
          <w:rFonts w:hint="eastAsia"/>
        </w:rPr>
        <w:t>当期市盈率与1</w:t>
      </w:r>
      <w:r w:rsidR="00CD3FDB">
        <w:t>0</w:t>
      </w:r>
      <w:r w:rsidR="00CD3FDB">
        <w:rPr>
          <w:rFonts w:hint="eastAsia"/>
        </w:rPr>
        <w:t>个交易日前市盈率</w:t>
      </w:r>
      <w:r w:rsidR="00707782">
        <w:rPr>
          <w:rFonts w:hint="eastAsia"/>
        </w:rPr>
        <w:t>差分</w:t>
      </w:r>
      <w:r w:rsidR="00F30A34">
        <w:rPr>
          <w:rFonts w:hint="eastAsia"/>
        </w:rPr>
        <w:t>作为风险因素的度量</w:t>
      </w:r>
      <w:r w:rsidR="00E91D54">
        <w:rPr>
          <w:rFonts w:hint="eastAsia"/>
        </w:rPr>
        <w:t>。该</w:t>
      </w:r>
      <w:proofErr w:type="gramStart"/>
      <w:r w:rsidR="00E91D54">
        <w:rPr>
          <w:rFonts w:hint="eastAsia"/>
        </w:rPr>
        <w:t>差分值</w:t>
      </w:r>
      <w:proofErr w:type="gramEnd"/>
      <w:r w:rsidR="009B576C">
        <w:rPr>
          <w:rFonts w:hint="eastAsia"/>
        </w:rPr>
        <w:t>越大</w:t>
      </w:r>
      <w:r w:rsidR="00C95B42">
        <w:rPr>
          <w:rFonts w:hint="eastAsia"/>
        </w:rPr>
        <w:t>，说明当期相较</w:t>
      </w:r>
      <w:proofErr w:type="gramStart"/>
      <w:r w:rsidR="00C95B42">
        <w:rPr>
          <w:rFonts w:hint="eastAsia"/>
        </w:rPr>
        <w:t>于往期市盈</w:t>
      </w:r>
      <w:proofErr w:type="gramEnd"/>
      <w:r w:rsidR="00C95B42">
        <w:rPr>
          <w:rFonts w:hint="eastAsia"/>
        </w:rPr>
        <w:t>率较高</w:t>
      </w:r>
      <w:r w:rsidR="00107BC2">
        <w:rPr>
          <w:rFonts w:hint="eastAsia"/>
        </w:rPr>
        <w:t>，股价处于高位或者股票价值较低</w:t>
      </w:r>
      <w:r w:rsidR="002643DC">
        <w:rPr>
          <w:rFonts w:hint="eastAsia"/>
        </w:rPr>
        <w:t>，承担风险较大</w:t>
      </w:r>
      <w:r w:rsidR="000D4850">
        <w:rPr>
          <w:rFonts w:hint="eastAsia"/>
        </w:rPr>
        <w:t>。具体计算方式为：</w:t>
      </w:r>
    </w:p>
    <w:p w14:paraId="7BBE3BB5" w14:textId="613A43C5" w:rsidR="00FD14A3" w:rsidRPr="00E03AF1" w:rsidRDefault="00D94FA1" w:rsidP="00FD14A3">
      <w:pPr>
        <w:pStyle w:val="ac"/>
        <w:ind w:firstLineChars="0" w:firstLine="0"/>
      </w:pPr>
      <m:oMathPara>
        <m:oMath>
          <m:r>
            <w:rPr>
              <w:rFonts w:ascii="Cambria Math" w:hAnsi="Cambria Math" w:hint="eastAsia"/>
            </w:rPr>
            <m:t>风险因素</m:t>
          </m:r>
          <m:r>
            <w:rPr>
              <w:rFonts w:ascii="Cambria Math" w:hAnsi="Cambria Math" w:hint="eastAsia"/>
            </w:rPr>
            <m:t>=</m:t>
          </m:r>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hint="eastAsia"/>
                    </w:rPr>
                    <m:t>股价</m:t>
                  </m:r>
                  <m:r>
                    <w:rPr>
                      <w:rFonts w:ascii="Cambria Math" w:hAnsi="Cambria Math"/>
                    </w:rPr>
                    <m:t>×</m:t>
                  </m:r>
                  <m:r>
                    <w:rPr>
                      <w:rFonts w:ascii="Cambria Math" w:hAnsi="Cambria Math" w:hint="eastAsia"/>
                    </w:rPr>
                    <m:t>发行数量</m:t>
                  </m:r>
                </m:e>
              </m:nary>
            </m:num>
            <m:den>
              <m:nary>
                <m:naryPr>
                  <m:chr m:val="∑"/>
                  <m:limLoc m:val="undOvr"/>
                  <m:subHide m:val="1"/>
                  <m:supHide m:val="1"/>
                  <m:ctrlPr>
                    <w:rPr>
                      <w:rFonts w:ascii="Cambria Math" w:hAnsi="Cambria Math"/>
                      <w:i/>
                    </w:rPr>
                  </m:ctrlPr>
                </m:naryPr>
                <m:sub/>
                <m:sup/>
                <m:e>
                  <m:r>
                    <w:rPr>
                      <w:rFonts w:ascii="Cambria Math" w:hAnsi="Cambria Math" w:hint="eastAsia"/>
                    </w:rPr>
                    <m:t>每股净利润</m:t>
                  </m:r>
                  <m:r>
                    <w:rPr>
                      <w:rFonts w:ascii="Cambria Math" w:hAnsi="Cambria Math"/>
                    </w:rPr>
                    <m:t>×</m:t>
                  </m:r>
                  <m:r>
                    <w:rPr>
                      <w:rFonts w:ascii="Cambria Math" w:hAnsi="Cambria Math" w:hint="eastAsia"/>
                    </w:rPr>
                    <m:t>发行数量</m:t>
                  </m:r>
                </m:e>
              </m:nary>
            </m:den>
          </m:f>
        </m:oMath>
      </m:oMathPara>
    </w:p>
    <w:p w14:paraId="1346D0EF" w14:textId="5936E4AC" w:rsidR="00E03AF1" w:rsidRPr="00E03AF1" w:rsidRDefault="00A91734" w:rsidP="007B1137">
      <w:pPr>
        <w:pStyle w:val="ac"/>
        <w:ind w:firstLine="420"/>
      </w:pPr>
      <w:r>
        <w:rPr>
          <w:rFonts w:hint="eastAsia"/>
        </w:rPr>
        <w:t>差分符号右边是股指平均市盈率的计算方法</w:t>
      </w:r>
      <w:r w:rsidR="000F26A0">
        <w:rPr>
          <w:rFonts w:hint="eastAsia"/>
        </w:rPr>
        <w:t>，</w:t>
      </w:r>
      <w:r w:rsidR="00086000">
        <w:rPr>
          <w:rFonts w:hint="eastAsia"/>
        </w:rPr>
        <w:t>将股指内所有股票看作一支股票</w:t>
      </w:r>
      <w:r w:rsidR="00957481">
        <w:rPr>
          <w:rFonts w:hint="eastAsia"/>
        </w:rPr>
        <w:t>，</w:t>
      </w:r>
      <w:proofErr w:type="gramStart"/>
      <w:r w:rsidR="00957481">
        <w:rPr>
          <w:rFonts w:hint="eastAsia"/>
        </w:rPr>
        <w:t>利用总市值除以总净</w:t>
      </w:r>
      <w:proofErr w:type="gramEnd"/>
      <w:r w:rsidR="00957481">
        <w:rPr>
          <w:rFonts w:hint="eastAsia"/>
        </w:rPr>
        <w:t>利润的方式计算市盈率</w:t>
      </w:r>
      <w:r w:rsidR="007207D0">
        <w:rPr>
          <w:rFonts w:hint="eastAsia"/>
        </w:rPr>
        <w:t>；</w:t>
      </w:r>
      <w:r w:rsidR="004854AC">
        <w:rPr>
          <w:rFonts w:hint="eastAsia"/>
        </w:rPr>
        <w:t>若对分子</w:t>
      </w:r>
      <w:r w:rsidR="00F7167C">
        <w:rPr>
          <w:rFonts w:hint="eastAsia"/>
        </w:rPr>
        <w:t>、</w:t>
      </w:r>
      <w:r w:rsidR="004854AC">
        <w:rPr>
          <w:rFonts w:hint="eastAsia"/>
        </w:rPr>
        <w:t>分母同时</w:t>
      </w:r>
      <w:r w:rsidR="00AE4E8C">
        <w:rPr>
          <w:rFonts w:hint="eastAsia"/>
        </w:rPr>
        <w:t>除以</w:t>
      </w:r>
      <w:r w:rsidR="004310AD">
        <w:rPr>
          <w:rFonts w:hint="eastAsia"/>
        </w:rPr>
        <w:t>股指成</w:t>
      </w:r>
      <w:proofErr w:type="gramStart"/>
      <w:r w:rsidR="004310AD">
        <w:rPr>
          <w:rFonts w:hint="eastAsia"/>
        </w:rPr>
        <w:t>分股总</w:t>
      </w:r>
      <w:proofErr w:type="gramEnd"/>
      <w:r w:rsidR="004310AD">
        <w:rPr>
          <w:rFonts w:hint="eastAsia"/>
        </w:rPr>
        <w:t>发行数量</w:t>
      </w:r>
      <w:r w:rsidR="004E0332">
        <w:rPr>
          <w:rFonts w:hint="eastAsia"/>
        </w:rPr>
        <w:t>，</w:t>
      </w:r>
      <w:r w:rsidR="00965E03">
        <w:rPr>
          <w:rFonts w:hint="eastAsia"/>
        </w:rPr>
        <w:t>可理解</w:t>
      </w:r>
      <w:r w:rsidR="00382117">
        <w:rPr>
          <w:rFonts w:hint="eastAsia"/>
        </w:rPr>
        <w:t>为</w:t>
      </w:r>
      <w:r w:rsidR="0012080A">
        <w:rPr>
          <w:rFonts w:hint="eastAsia"/>
        </w:rPr>
        <w:t>以</w:t>
      </w:r>
      <w:r w:rsidR="001D0294">
        <w:rPr>
          <w:rFonts w:hint="eastAsia"/>
        </w:rPr>
        <w:t>发行数占比</w:t>
      </w:r>
      <w:r w:rsidR="0012080A">
        <w:rPr>
          <w:rFonts w:hint="eastAsia"/>
        </w:rPr>
        <w:t>为权重的</w:t>
      </w:r>
      <w:r w:rsidR="001D0294">
        <w:rPr>
          <w:rFonts w:hint="eastAsia"/>
        </w:rPr>
        <w:t>加权平均</w:t>
      </w:r>
      <w:proofErr w:type="gramStart"/>
      <w:r w:rsidR="0012080A">
        <w:rPr>
          <w:rFonts w:hint="eastAsia"/>
        </w:rPr>
        <w:t>股价</w:t>
      </w:r>
      <w:proofErr w:type="gramEnd"/>
      <w:r w:rsidR="0012080A">
        <w:rPr>
          <w:rFonts w:hint="eastAsia"/>
        </w:rPr>
        <w:t>除以加权平均</w:t>
      </w:r>
      <w:r w:rsidR="00F804A4">
        <w:rPr>
          <w:rFonts w:hint="eastAsia"/>
        </w:rPr>
        <w:t>每股</w:t>
      </w:r>
      <w:r w:rsidR="0012080A">
        <w:rPr>
          <w:rFonts w:hint="eastAsia"/>
        </w:rPr>
        <w:t>净利润</w:t>
      </w:r>
      <w:r w:rsidR="001864EB">
        <w:rPr>
          <w:rFonts w:hint="eastAsia"/>
        </w:rPr>
        <w:t>。</w:t>
      </w:r>
    </w:p>
    <w:p w14:paraId="75C75943" w14:textId="6F083861" w:rsidR="00BA228E" w:rsidRDefault="00BA228E" w:rsidP="00E532F8">
      <w:pPr>
        <w:pStyle w:val="a1"/>
        <w:spacing w:before="156" w:after="156"/>
      </w:pPr>
      <w:bookmarkStart w:id="42" w:name="_Toc3381502"/>
      <w:r>
        <w:t>投资者情绪因素</w:t>
      </w:r>
      <w:bookmarkEnd w:id="42"/>
    </w:p>
    <w:p w14:paraId="01B34636" w14:textId="0B9B6D2A"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，该指标将收盘价之上的价位称为压力位、将开盘价之下的价位称为支撑位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pPr>
      <w:r>
        <w:rPr>
          <w:rFonts w:hint="eastAsia"/>
        </w:rPr>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657D81E3" w:rsidR="00BA228E" w:rsidRDefault="00BA228E" w:rsidP="00E532F8">
      <w:pPr>
        <w:pStyle w:val="a1"/>
        <w:spacing w:before="156" w:after="156"/>
      </w:pPr>
      <w:bookmarkStart w:id="43" w:name="_Toc3381503"/>
      <w:r>
        <w:lastRenderedPageBreak/>
        <w:t>政策因素</w:t>
      </w:r>
      <w:bookmarkEnd w:id="43"/>
    </w:p>
    <w:p w14:paraId="0EE8A52B" w14:textId="7212B9EF" w:rsidR="003D75E0" w:rsidRDefault="00823CF4" w:rsidP="00A1663A">
      <w:pPr>
        <w:pStyle w:val="ac"/>
        <w:ind w:firstLine="420"/>
      </w:pPr>
      <w:r>
        <w:rPr>
          <w:rFonts w:hint="eastAsia"/>
        </w:rPr>
        <w:t>政策因素主要通过</w:t>
      </w:r>
      <w:r w:rsidR="00B11BB7" w:rsidRPr="00FF0C14">
        <w:rPr>
          <w:rFonts w:hint="eastAsia"/>
        </w:rPr>
        <w:t>《新闻联播》</w:t>
      </w:r>
      <w:r w:rsidR="003D56D8">
        <w:rPr>
          <w:rFonts w:hint="eastAsia"/>
        </w:rPr>
        <w:t>的内容构造</w:t>
      </w:r>
      <w:r w:rsidR="00A72F2D">
        <w:rPr>
          <w:rFonts w:hint="eastAsia"/>
        </w:rPr>
        <w:t>，</w:t>
      </w:r>
      <w:r w:rsidR="00754D33">
        <w:rPr>
          <w:rFonts w:hint="eastAsia"/>
        </w:rPr>
        <w:t>本文计数</w:t>
      </w:r>
      <w:r w:rsidR="00147BEF">
        <w:rPr>
          <w:rFonts w:hint="eastAsia"/>
        </w:rPr>
        <w:t>新闻</w:t>
      </w:r>
      <w:r w:rsidR="00754D33">
        <w:rPr>
          <w:rFonts w:hint="eastAsia"/>
        </w:rPr>
        <w:t>的</w:t>
      </w:r>
      <w:r w:rsidR="00147BEF">
        <w:rPr>
          <w:rFonts w:hint="eastAsia"/>
        </w:rPr>
        <w:t>标题与内容</w:t>
      </w:r>
      <w:r w:rsidR="003558BB">
        <w:rPr>
          <w:rFonts w:hint="eastAsia"/>
        </w:rPr>
        <w:t>中</w:t>
      </w:r>
      <w:r w:rsidR="00147BEF">
        <w:rPr>
          <w:rFonts w:hint="eastAsia"/>
        </w:rPr>
        <w:t>包含“股市”、“证监会”</w:t>
      </w:r>
      <w:r w:rsidR="001B66B4">
        <w:rPr>
          <w:rFonts w:hint="eastAsia"/>
        </w:rPr>
        <w:t>、“金融”</w:t>
      </w:r>
      <w:r w:rsidR="00B05BDE">
        <w:rPr>
          <w:rFonts w:hint="eastAsia"/>
        </w:rPr>
        <w:t>三个关键词</w:t>
      </w:r>
      <w:r w:rsidR="003558BB">
        <w:rPr>
          <w:rFonts w:hint="eastAsia"/>
        </w:rPr>
        <w:t>的条数</w:t>
      </w:r>
      <w:r w:rsidR="006662A5">
        <w:rPr>
          <w:rFonts w:hint="eastAsia"/>
        </w:rPr>
        <w:t>，</w:t>
      </w:r>
      <w:r w:rsidR="000D63E3">
        <w:rPr>
          <w:rFonts w:hint="eastAsia"/>
        </w:rPr>
        <w:t>选择</w:t>
      </w:r>
      <w:r w:rsidR="00B11BB7" w:rsidRPr="00FF0C14">
        <w:rPr>
          <w:rFonts w:hint="eastAsia"/>
        </w:rPr>
        <w:t>《新闻联播》</w:t>
      </w:r>
      <w:r w:rsidR="000D63E3">
        <w:rPr>
          <w:rFonts w:hint="eastAsia"/>
        </w:rPr>
        <w:t>的新闻内容有以下优点：（1）</w:t>
      </w:r>
      <w:r w:rsidR="00B11BB7" w:rsidRPr="00FF0C14">
        <w:rPr>
          <w:rFonts w:hint="eastAsia"/>
        </w:rPr>
        <w:t>《新闻联播》</w:t>
      </w:r>
      <w:r w:rsidR="00F22794">
        <w:rPr>
          <w:rFonts w:hint="eastAsia"/>
        </w:rPr>
        <w:t>受众广</w:t>
      </w:r>
      <w:r w:rsidR="001A1259">
        <w:rPr>
          <w:rFonts w:hint="eastAsia"/>
        </w:rPr>
        <w:t>，收到社会各界关注</w:t>
      </w:r>
      <w:r w:rsidR="000D63E3">
        <w:rPr>
          <w:rFonts w:hint="eastAsia"/>
        </w:rPr>
        <w:t>，是各类新闻的汇总处</w:t>
      </w:r>
      <w:r w:rsidR="008469EB">
        <w:rPr>
          <w:rFonts w:hint="eastAsia"/>
        </w:rPr>
        <w:t>；</w:t>
      </w:r>
      <w:r w:rsidR="00CF611C">
        <w:rPr>
          <w:rFonts w:hint="eastAsia"/>
        </w:rPr>
        <w:t>（2）</w:t>
      </w:r>
      <w:r w:rsidR="008469EB">
        <w:rPr>
          <w:rFonts w:hint="eastAsia"/>
        </w:rPr>
        <w:t>是一个</w:t>
      </w:r>
      <w:r w:rsidR="00BF0220">
        <w:rPr>
          <w:rFonts w:hint="eastAsia"/>
        </w:rPr>
        <w:t>新闻</w:t>
      </w:r>
      <w:r w:rsidR="00F22794">
        <w:rPr>
          <w:rFonts w:hint="eastAsia"/>
        </w:rPr>
        <w:t>“筛选”平台</w:t>
      </w:r>
      <w:r w:rsidR="00CB66B2">
        <w:rPr>
          <w:rFonts w:hint="eastAsia"/>
        </w:rPr>
        <w:t>，</w:t>
      </w:r>
      <w:r w:rsidR="00845F94">
        <w:rPr>
          <w:rFonts w:hint="eastAsia"/>
        </w:rPr>
        <w:t>新闻标题与内容所表达的含义是一致、清晰的</w:t>
      </w:r>
      <w:r w:rsidR="009C7CDF">
        <w:rPr>
          <w:rFonts w:hint="eastAsia"/>
        </w:rPr>
        <w:t>，</w:t>
      </w:r>
      <w:r w:rsidR="00B11BB7" w:rsidRPr="00FF0C14">
        <w:rPr>
          <w:rFonts w:hint="eastAsia"/>
        </w:rPr>
        <w:t>《新闻联播》</w:t>
      </w:r>
      <w:r w:rsidR="00CB66B2">
        <w:rPr>
          <w:rFonts w:hint="eastAsia"/>
        </w:rPr>
        <w:t>中播报的新闻</w:t>
      </w:r>
      <w:r w:rsidR="00CC3CB9">
        <w:rPr>
          <w:rFonts w:hint="eastAsia"/>
        </w:rPr>
        <w:t>是</w:t>
      </w:r>
      <w:r w:rsidR="000B44D4">
        <w:rPr>
          <w:rFonts w:hint="eastAsia"/>
        </w:rPr>
        <w:t>近期</w:t>
      </w:r>
      <w:r w:rsidR="00CC3CB9">
        <w:rPr>
          <w:rFonts w:hint="eastAsia"/>
        </w:rPr>
        <w:t>具有较大</w:t>
      </w:r>
      <w:r w:rsidR="000B44D4">
        <w:rPr>
          <w:rFonts w:hint="eastAsia"/>
        </w:rPr>
        <w:t>社会</w:t>
      </w:r>
      <w:r w:rsidR="00CC3CB9">
        <w:rPr>
          <w:rFonts w:hint="eastAsia"/>
        </w:rPr>
        <w:t>影响</w:t>
      </w:r>
      <w:r w:rsidR="004C3273">
        <w:rPr>
          <w:rFonts w:hint="eastAsia"/>
        </w:rPr>
        <w:t>的</w:t>
      </w:r>
      <w:r w:rsidR="001E7B75">
        <w:rPr>
          <w:rFonts w:hint="eastAsia"/>
        </w:rPr>
        <w:t>。</w:t>
      </w:r>
    </w:p>
    <w:p w14:paraId="261EF4BD" w14:textId="2112FA97" w:rsidR="001F2015" w:rsidRDefault="001F2015" w:rsidP="00A1663A">
      <w:pPr>
        <w:pStyle w:val="ac"/>
        <w:ind w:firstLine="420"/>
      </w:pPr>
      <w:r>
        <w:rPr>
          <w:rFonts w:hint="eastAsia"/>
        </w:rPr>
        <w:t>量化政策因素的具体方法</w:t>
      </w:r>
      <w:r w:rsidR="002E6749">
        <w:rPr>
          <w:rFonts w:hint="eastAsia"/>
        </w:rPr>
        <w:t>如下：</w:t>
      </w:r>
      <w:r w:rsidR="00425B91">
        <w:rPr>
          <w:rFonts w:hint="eastAsia"/>
        </w:rPr>
        <w:t>（1）</w:t>
      </w:r>
      <w:r w:rsidR="009C6761">
        <w:rPr>
          <w:rFonts w:hint="eastAsia"/>
        </w:rPr>
        <w:t>获取每日包含关键词</w:t>
      </w:r>
      <w:r w:rsidR="00CE08C8">
        <w:rPr>
          <w:rFonts w:hint="eastAsia"/>
        </w:rPr>
        <w:t>的新闻条数</w:t>
      </w:r>
      <w:r w:rsidR="00425B91">
        <w:rPr>
          <w:rFonts w:hint="eastAsia"/>
        </w:rPr>
        <w:t>；</w:t>
      </w:r>
      <w:r w:rsidR="00A21BF3">
        <w:rPr>
          <w:rFonts w:hint="eastAsia"/>
        </w:rPr>
        <w:t>（2）所有数据对应的日期往后延期1日</w:t>
      </w:r>
      <w:r w:rsidR="004F4E65">
        <w:rPr>
          <w:rFonts w:hint="eastAsia"/>
        </w:rPr>
        <w:t>，例如二月一日的新闻条数对应日期变为二月二日</w:t>
      </w:r>
      <w:r w:rsidR="003333D2">
        <w:rPr>
          <w:rFonts w:hint="eastAsia"/>
        </w:rPr>
        <w:t>，因为</w:t>
      </w:r>
      <w:r w:rsidR="00B11BB7" w:rsidRPr="00FF0C14">
        <w:rPr>
          <w:rFonts w:hint="eastAsia"/>
        </w:rPr>
        <w:t>《新闻联播》</w:t>
      </w:r>
      <w:r w:rsidR="003333D2">
        <w:rPr>
          <w:rFonts w:hint="eastAsia"/>
        </w:rPr>
        <w:t>的播报在当日股市收盘以后</w:t>
      </w:r>
      <w:r w:rsidR="00653581">
        <w:rPr>
          <w:rFonts w:hint="eastAsia"/>
        </w:rPr>
        <w:t>，并非同时或者提前进行</w:t>
      </w:r>
      <w:r w:rsidR="002B3808">
        <w:rPr>
          <w:rFonts w:hint="eastAsia"/>
        </w:rPr>
        <w:t>，作为解释变量不适合具有超前的效应</w:t>
      </w:r>
      <w:r w:rsidR="002D6653">
        <w:rPr>
          <w:rFonts w:hint="eastAsia"/>
        </w:rPr>
        <w:t>；（3）</w:t>
      </w:r>
      <w:r w:rsidR="00D74D37">
        <w:rPr>
          <w:rFonts w:hint="eastAsia"/>
        </w:rPr>
        <w:t>将</w:t>
      </w:r>
      <w:r w:rsidR="00391EE5">
        <w:rPr>
          <w:rFonts w:hint="eastAsia"/>
        </w:rPr>
        <w:t>新日期中的</w:t>
      </w:r>
      <w:r w:rsidR="00D74D37">
        <w:rPr>
          <w:rFonts w:hint="eastAsia"/>
        </w:rPr>
        <w:t>休市日对应的</w:t>
      </w:r>
      <w:r w:rsidR="009C1F9A">
        <w:rPr>
          <w:rFonts w:hint="eastAsia"/>
        </w:rPr>
        <w:t>新闻条数依次加至</w:t>
      </w:r>
      <w:r w:rsidR="006F7E5D">
        <w:rPr>
          <w:rFonts w:hint="eastAsia"/>
        </w:rPr>
        <w:t>后一天</w:t>
      </w:r>
      <w:r w:rsidR="00720FF3">
        <w:rPr>
          <w:rFonts w:hint="eastAsia"/>
        </w:rPr>
        <w:t>，例如原先周</w:t>
      </w:r>
      <w:r w:rsidR="002367CF">
        <w:rPr>
          <w:rFonts w:hint="eastAsia"/>
        </w:rPr>
        <w:t>五</w:t>
      </w:r>
      <w:r w:rsidR="00720FF3">
        <w:rPr>
          <w:rFonts w:hint="eastAsia"/>
        </w:rPr>
        <w:t>播报的新闻</w:t>
      </w:r>
      <w:r w:rsidR="00FC313C">
        <w:rPr>
          <w:rFonts w:hint="eastAsia"/>
        </w:rPr>
        <w:t>在第二步中</w:t>
      </w:r>
      <w:r w:rsidR="00DB2B09">
        <w:rPr>
          <w:rFonts w:hint="eastAsia"/>
        </w:rPr>
        <w:t>日期变为周</w:t>
      </w:r>
      <w:r w:rsidR="00445600">
        <w:rPr>
          <w:rFonts w:hint="eastAsia"/>
        </w:rPr>
        <w:t>六</w:t>
      </w:r>
      <w:r w:rsidR="003F2756">
        <w:rPr>
          <w:rFonts w:hint="eastAsia"/>
        </w:rPr>
        <w:t>，属于休市日</w:t>
      </w:r>
      <w:r w:rsidR="00F508D4">
        <w:rPr>
          <w:rFonts w:hint="eastAsia"/>
        </w:rPr>
        <w:t>，添加至周日后</w:t>
      </w:r>
      <w:r w:rsidR="001B7A0A">
        <w:rPr>
          <w:rFonts w:hint="eastAsia"/>
        </w:rPr>
        <w:t>再添加至周一</w:t>
      </w:r>
      <w:r w:rsidR="00730CDB">
        <w:rPr>
          <w:rFonts w:hint="eastAsia"/>
        </w:rPr>
        <w:t>；（4）</w:t>
      </w:r>
      <w:r w:rsidR="0076252C">
        <w:rPr>
          <w:rFonts w:hint="eastAsia"/>
        </w:rPr>
        <w:t>在读取关键词时</w:t>
      </w:r>
      <w:r w:rsidR="00326052">
        <w:rPr>
          <w:rFonts w:hint="eastAsia"/>
        </w:rPr>
        <w:t>同时包含</w:t>
      </w:r>
      <w:r w:rsidR="0057117B">
        <w:rPr>
          <w:rFonts w:hint="eastAsia"/>
        </w:rPr>
        <w:t>三个关键词的新闻会被重复计算</w:t>
      </w:r>
      <w:r w:rsidR="00DC5128">
        <w:rPr>
          <w:rFonts w:hint="eastAsia"/>
        </w:rPr>
        <w:t>，</w:t>
      </w:r>
      <w:proofErr w:type="gramStart"/>
      <w:r w:rsidR="00DC5128">
        <w:rPr>
          <w:rFonts w:hint="eastAsia"/>
        </w:rPr>
        <w:t>且</w:t>
      </w:r>
      <w:r w:rsidR="0065041F">
        <w:rPr>
          <w:rFonts w:hint="eastAsia"/>
        </w:rPr>
        <w:t>某一</w:t>
      </w:r>
      <w:proofErr w:type="gramEnd"/>
      <w:r w:rsidR="0065041F">
        <w:rPr>
          <w:rFonts w:hint="eastAsia"/>
        </w:rPr>
        <w:t>新闻</w:t>
      </w:r>
      <w:r w:rsidR="00F23194">
        <w:rPr>
          <w:rFonts w:hint="eastAsia"/>
        </w:rPr>
        <w:t>同时包含三个关键词</w:t>
      </w:r>
      <w:r w:rsidR="00DC5128">
        <w:rPr>
          <w:rFonts w:hint="eastAsia"/>
        </w:rPr>
        <w:t>的可能较大</w:t>
      </w:r>
      <w:r w:rsidR="004B245C">
        <w:rPr>
          <w:rFonts w:hint="eastAsia"/>
        </w:rPr>
        <w:t>，</w:t>
      </w:r>
      <w:r w:rsidR="006746C1">
        <w:rPr>
          <w:rFonts w:hint="eastAsia"/>
        </w:rPr>
        <w:t>导致</w:t>
      </w:r>
      <w:r w:rsidR="004B245C">
        <w:rPr>
          <w:rFonts w:hint="eastAsia"/>
        </w:rPr>
        <w:t>数据间的差异较大</w:t>
      </w:r>
      <w:r w:rsidR="001B21CF">
        <w:rPr>
          <w:rFonts w:hint="eastAsia"/>
        </w:rPr>
        <w:t>，</w:t>
      </w:r>
      <w:proofErr w:type="gramStart"/>
      <w:r w:rsidR="001B21CF">
        <w:rPr>
          <w:rFonts w:hint="eastAsia"/>
        </w:rPr>
        <w:t>取对数</w:t>
      </w:r>
      <w:proofErr w:type="gramEnd"/>
      <w:r w:rsidR="001B21CF">
        <w:rPr>
          <w:rFonts w:hint="eastAsia"/>
        </w:rPr>
        <w:t>值减少</w:t>
      </w:r>
      <w:r w:rsidR="00BC4ED8">
        <w:rPr>
          <w:rFonts w:hint="eastAsia"/>
        </w:rPr>
        <w:t>差异</w:t>
      </w:r>
      <w:r w:rsidR="00E836BD">
        <w:rPr>
          <w:rFonts w:hint="eastAsia"/>
        </w:rPr>
        <w:t>，也使数据更平稳</w:t>
      </w:r>
      <w:r w:rsidR="00BC312A">
        <w:rPr>
          <w:rFonts w:hint="eastAsia"/>
        </w:rPr>
        <w:t>，具体操作为平滑处理的取对数法：</w:t>
      </w:r>
      <m:oMath>
        <m:sSub>
          <m:sSubPr>
            <m:ctrlPr>
              <w:rPr>
                <w:rFonts w:ascii="Cambria Math" w:hAnsi="Cambria Math"/>
                <w:i/>
              </w:rPr>
            </m:ctrlPr>
          </m:sSubPr>
          <m:e>
            <m:r>
              <w:rPr>
                <w:rFonts w:ascii="Cambria Math" w:hAnsi="Cambria Math" w:hint="eastAsia"/>
              </w:rPr>
              <m:t>对数新闻条数</m:t>
            </m:r>
          </m:e>
          <m:sub>
            <m:r>
              <w:rPr>
                <w:rFonts w:ascii="Cambria Math" w:hAnsi="Cambria Math"/>
              </w:rPr>
              <m:t>t</m:t>
            </m:r>
          </m:sub>
        </m:sSub>
        <m:r>
          <w:rPr>
            <w:rFonts w:ascii="Cambria Math" w:hAnsi="Cambria Math" w:hint="eastAsia"/>
          </w:rPr>
          <m:t xml:space="preserve"> =</m:t>
        </m:r>
        <m:r>
          <w:rPr>
            <w:rFonts w:ascii="Cambria Math" w:hAnsi="Cambria Math"/>
          </w:rPr>
          <m:t xml:space="preserve"> </m:t>
        </m:r>
        <m:r>
          <w:rPr>
            <w:rFonts w:ascii="Cambria Math" w:hAnsi="Cambria Math" w:hint="eastAsia"/>
          </w:rPr>
          <m:t>ln</m:t>
        </m:r>
        <m:r>
          <w:rPr>
            <w:rFonts w:ascii="Cambria Math" w:hAnsi="Cambria Math"/>
          </w:rPr>
          <m:t>(</m:t>
        </m:r>
        <m:sSub>
          <m:sSubPr>
            <m:ctrlPr>
              <w:rPr>
                <w:rFonts w:ascii="Cambria Math" w:hAnsi="Cambria Math"/>
                <w:i/>
              </w:rPr>
            </m:ctrlPr>
          </m:sSubPr>
          <m:e>
            <m:r>
              <w:rPr>
                <w:rFonts w:ascii="Cambria Math" w:hAnsi="Cambria Math" w:hint="eastAsia"/>
              </w:rPr>
              <m:t>新闻条数</m:t>
            </m:r>
          </m:e>
          <m:sub>
            <m:r>
              <w:rPr>
                <w:rFonts w:ascii="Cambria Math" w:hAnsi="Cambria Math" w:hint="eastAsia"/>
              </w:rPr>
              <m:t>t</m:t>
            </m:r>
          </m:sub>
        </m:sSub>
        <m:r>
          <w:rPr>
            <w:rFonts w:ascii="Cambria Math" w:hAnsi="Cambria Math" w:hint="eastAsia"/>
          </w:rPr>
          <m:t>+</m:t>
        </m:r>
        <m:r>
          <w:rPr>
            <w:rFonts w:ascii="Cambria Math" w:hAnsi="Cambria Math" w:hint="eastAsia"/>
          </w:rPr>
          <m:t>新闻条数均值</m:t>
        </m:r>
        <m:r>
          <w:rPr>
            <w:rFonts w:ascii="Cambria Math" w:hAnsi="Cambria Math"/>
          </w:rPr>
          <m:t>)</m:t>
        </m:r>
      </m:oMath>
    </w:p>
    <w:p w14:paraId="1AECC5F2" w14:textId="72FD4D70" w:rsidR="00870F8E" w:rsidRDefault="002B5D73" w:rsidP="00F04990">
      <w:pPr>
        <w:pStyle w:val="ac"/>
        <w:ind w:firstLine="420"/>
      </w:pPr>
      <w:r>
        <w:rPr>
          <w:rFonts w:hint="eastAsia"/>
        </w:rPr>
        <w:t>与国家密切相关的重要新闻首先会在</w:t>
      </w:r>
      <w:r w:rsidR="006045FF" w:rsidRPr="00FF0C14">
        <w:rPr>
          <w:rFonts w:hint="eastAsia"/>
        </w:rPr>
        <w:t>《新闻联播》</w:t>
      </w:r>
      <w:r w:rsidR="001E4D5C">
        <w:rPr>
          <w:rFonts w:hint="eastAsia"/>
        </w:rPr>
        <w:t>中播报</w:t>
      </w:r>
      <w:r w:rsidR="001E3FCC">
        <w:rPr>
          <w:rFonts w:hint="eastAsia"/>
        </w:rPr>
        <w:t>，</w:t>
      </w:r>
      <w:r w:rsidR="009B67F9">
        <w:rPr>
          <w:rFonts w:hint="eastAsia"/>
        </w:rPr>
        <w:t>与关键词相关的新闻条数增多说明政府近期对该领域关注较高</w:t>
      </w:r>
      <w:r w:rsidR="00C82D69">
        <w:rPr>
          <w:rFonts w:hint="eastAsia"/>
        </w:rPr>
        <w:t>、出台政策较多</w:t>
      </w:r>
      <w:r w:rsidR="00091469">
        <w:rPr>
          <w:rFonts w:hint="eastAsia"/>
        </w:rPr>
        <w:t>，引申为近期政府对资本市场的政策影响较大</w:t>
      </w:r>
      <w:r w:rsidR="00B47789">
        <w:rPr>
          <w:rFonts w:hint="eastAsia"/>
        </w:rPr>
        <w:t>。</w:t>
      </w:r>
    </w:p>
    <w:p w14:paraId="46C7DE02" w14:textId="1A556E32" w:rsidR="00D92107" w:rsidRDefault="00D92107" w:rsidP="00E532F8">
      <w:pPr>
        <w:pStyle w:val="a1"/>
        <w:spacing w:before="156" w:after="156"/>
      </w:pPr>
      <w:bookmarkStart w:id="44" w:name="_Toc3381504"/>
      <w:r>
        <w:rPr>
          <w:rFonts w:hint="eastAsia"/>
        </w:rPr>
        <w:t>影响因素变量描述性统计</w:t>
      </w:r>
      <w:bookmarkEnd w:id="44"/>
    </w:p>
    <w:p w14:paraId="5A71380C" w14:textId="18B1A91D" w:rsidR="004B175E" w:rsidRDefault="004B175E" w:rsidP="004B175E">
      <w:pPr>
        <w:pStyle w:val="ac"/>
        <w:ind w:firstLine="420"/>
      </w:pPr>
      <w:r>
        <w:rPr>
          <w:rFonts w:hint="eastAsia"/>
        </w:rPr>
        <w:t>依照前文内容构造相应变量后，本文对量化后的三种因素指标进行了描述性统计，结果如下表所示：</w:t>
      </w:r>
    </w:p>
    <w:p w14:paraId="72B187B6" w14:textId="00840F18" w:rsidR="00BC27CD" w:rsidRPr="00BC27CD" w:rsidRDefault="00BC27CD" w:rsidP="00BC27CD">
      <w:pPr>
        <w:pStyle w:val="ac"/>
        <w:ind w:firstLine="422"/>
        <w:jc w:val="center"/>
        <w:rPr>
          <w:b/>
        </w:rPr>
      </w:pPr>
      <w:r w:rsidRPr="00BC27CD">
        <w:rPr>
          <w:rFonts w:hint="eastAsia"/>
          <w:b/>
        </w:rPr>
        <w:t>表4-</w:t>
      </w:r>
      <w:r w:rsidRPr="00BC27CD">
        <w:rPr>
          <w:b/>
        </w:rPr>
        <w:t xml:space="preserve">1 </w:t>
      </w:r>
      <w:r w:rsidRPr="00BC27CD">
        <w:rPr>
          <w:rFonts w:hint="eastAsia"/>
          <w:b/>
        </w:rPr>
        <w:t>影响因素变量描述性统计表</w:t>
      </w:r>
    </w:p>
    <w:tbl>
      <w:tblPr>
        <w:tblW w:w="5954" w:type="dxa"/>
        <w:jc w:val="center"/>
        <w:tblLook w:val="04A0" w:firstRow="1" w:lastRow="0" w:firstColumn="1" w:lastColumn="0" w:noHBand="0" w:noVBand="1"/>
      </w:tblPr>
      <w:tblGrid>
        <w:gridCol w:w="426"/>
        <w:gridCol w:w="1080"/>
        <w:gridCol w:w="1613"/>
        <w:gridCol w:w="1559"/>
        <w:gridCol w:w="1276"/>
      </w:tblGrid>
      <w:tr w:rsidR="00E960F5" w:rsidRPr="00AC4B5A" w14:paraId="6FB879AF" w14:textId="77777777" w:rsidTr="00A64357">
        <w:trPr>
          <w:trHeight w:val="270"/>
          <w:jc w:val="center"/>
        </w:trPr>
        <w:tc>
          <w:tcPr>
            <w:tcW w:w="426" w:type="dxa"/>
            <w:tcBorders>
              <w:top w:val="single" w:sz="4" w:space="0" w:color="auto"/>
              <w:left w:val="nil"/>
              <w:bottom w:val="single" w:sz="4" w:space="0" w:color="auto"/>
              <w:right w:val="nil"/>
            </w:tcBorders>
            <w:shd w:val="clear" w:color="auto" w:fill="auto"/>
            <w:noWrap/>
            <w:vAlign w:val="bottom"/>
            <w:hideMark/>
          </w:tcPr>
          <w:p w14:paraId="3B246776" w14:textId="77777777" w:rsidR="00E960F5" w:rsidRPr="00E960F5" w:rsidRDefault="00E960F5" w:rsidP="00E960F5">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7EA1EDDC" w14:textId="77777777" w:rsidR="00E960F5" w:rsidRPr="00E960F5" w:rsidRDefault="00E960F5" w:rsidP="00E960F5">
            <w:pPr>
              <w:widowControl/>
              <w:jc w:val="left"/>
              <w:rPr>
                <w:rFonts w:ascii="宋体" w:eastAsia="宋体" w:hAnsi="宋体" w:cs="Times New Roman"/>
                <w:kern w:val="0"/>
                <w:szCs w:val="21"/>
              </w:rPr>
            </w:pPr>
          </w:p>
        </w:tc>
        <w:tc>
          <w:tcPr>
            <w:tcW w:w="1613" w:type="dxa"/>
            <w:tcBorders>
              <w:top w:val="single" w:sz="4" w:space="0" w:color="auto"/>
              <w:left w:val="nil"/>
              <w:bottom w:val="single" w:sz="4" w:space="0" w:color="auto"/>
              <w:right w:val="nil"/>
            </w:tcBorders>
            <w:shd w:val="clear" w:color="auto" w:fill="auto"/>
            <w:noWrap/>
            <w:vAlign w:val="bottom"/>
            <w:hideMark/>
          </w:tcPr>
          <w:p w14:paraId="252F0284" w14:textId="1C5D929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风险因素</w:t>
            </w:r>
          </w:p>
        </w:tc>
        <w:tc>
          <w:tcPr>
            <w:tcW w:w="1559" w:type="dxa"/>
            <w:tcBorders>
              <w:top w:val="single" w:sz="4" w:space="0" w:color="auto"/>
              <w:left w:val="nil"/>
              <w:bottom w:val="single" w:sz="4" w:space="0" w:color="auto"/>
              <w:right w:val="nil"/>
            </w:tcBorders>
            <w:shd w:val="clear" w:color="auto" w:fill="auto"/>
            <w:noWrap/>
            <w:vAlign w:val="bottom"/>
            <w:hideMark/>
          </w:tcPr>
          <w:p w14:paraId="17804385" w14:textId="0B2D98D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情绪因素</w:t>
            </w:r>
          </w:p>
        </w:tc>
        <w:tc>
          <w:tcPr>
            <w:tcW w:w="1276" w:type="dxa"/>
            <w:tcBorders>
              <w:top w:val="single" w:sz="4" w:space="0" w:color="auto"/>
              <w:left w:val="nil"/>
              <w:bottom w:val="single" w:sz="4" w:space="0" w:color="auto"/>
              <w:right w:val="nil"/>
            </w:tcBorders>
            <w:shd w:val="clear" w:color="auto" w:fill="auto"/>
            <w:noWrap/>
            <w:vAlign w:val="bottom"/>
            <w:hideMark/>
          </w:tcPr>
          <w:p w14:paraId="2EAAF652" w14:textId="06DAAF65"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政策因素</w:t>
            </w:r>
          </w:p>
        </w:tc>
      </w:tr>
      <w:tr w:rsidR="00E960F5" w:rsidRPr="00AC4B5A" w14:paraId="08C4C488" w14:textId="77777777" w:rsidTr="00A64357">
        <w:trPr>
          <w:trHeight w:val="270"/>
          <w:jc w:val="center"/>
        </w:trPr>
        <w:tc>
          <w:tcPr>
            <w:tcW w:w="426" w:type="dxa"/>
            <w:vMerge w:val="restart"/>
            <w:tcBorders>
              <w:top w:val="single" w:sz="4" w:space="0" w:color="auto"/>
              <w:left w:val="nil"/>
              <w:bottom w:val="nil"/>
              <w:right w:val="nil"/>
            </w:tcBorders>
            <w:shd w:val="clear" w:color="auto" w:fill="auto"/>
            <w:vAlign w:val="center"/>
            <w:hideMark/>
          </w:tcPr>
          <w:p w14:paraId="13211CDF" w14:textId="7C7B610C"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上证综指</w:t>
            </w:r>
          </w:p>
        </w:tc>
        <w:tc>
          <w:tcPr>
            <w:tcW w:w="1080" w:type="dxa"/>
            <w:tcBorders>
              <w:top w:val="single" w:sz="4" w:space="0" w:color="auto"/>
              <w:left w:val="nil"/>
              <w:bottom w:val="nil"/>
              <w:right w:val="nil"/>
            </w:tcBorders>
            <w:shd w:val="clear" w:color="auto" w:fill="auto"/>
            <w:noWrap/>
            <w:vAlign w:val="bottom"/>
            <w:hideMark/>
          </w:tcPr>
          <w:p w14:paraId="785D58DF" w14:textId="541E6CD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single" w:sz="4" w:space="0" w:color="auto"/>
              <w:left w:val="nil"/>
              <w:bottom w:val="nil"/>
              <w:right w:val="nil"/>
            </w:tcBorders>
            <w:shd w:val="clear" w:color="auto" w:fill="auto"/>
            <w:noWrap/>
            <w:vAlign w:val="bottom"/>
            <w:hideMark/>
          </w:tcPr>
          <w:p w14:paraId="30275641" w14:textId="6CD2F27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single" w:sz="4" w:space="0" w:color="auto"/>
              <w:left w:val="nil"/>
              <w:bottom w:val="nil"/>
              <w:right w:val="nil"/>
            </w:tcBorders>
            <w:shd w:val="clear" w:color="auto" w:fill="auto"/>
            <w:noWrap/>
            <w:vAlign w:val="bottom"/>
            <w:hideMark/>
          </w:tcPr>
          <w:p w14:paraId="7024BD2C" w14:textId="3F0EBE2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single" w:sz="4" w:space="0" w:color="auto"/>
              <w:left w:val="nil"/>
              <w:bottom w:val="nil"/>
              <w:right w:val="nil"/>
            </w:tcBorders>
            <w:shd w:val="clear" w:color="auto" w:fill="auto"/>
            <w:noWrap/>
            <w:vAlign w:val="bottom"/>
            <w:hideMark/>
          </w:tcPr>
          <w:p w14:paraId="4C7A3EB7" w14:textId="5480651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6E85DC64" w14:textId="77777777" w:rsidTr="00F115D6">
        <w:trPr>
          <w:trHeight w:val="270"/>
          <w:jc w:val="center"/>
        </w:trPr>
        <w:tc>
          <w:tcPr>
            <w:tcW w:w="426" w:type="dxa"/>
            <w:vMerge/>
            <w:tcBorders>
              <w:top w:val="nil"/>
              <w:left w:val="nil"/>
              <w:bottom w:val="nil"/>
              <w:right w:val="nil"/>
            </w:tcBorders>
            <w:vAlign w:val="center"/>
            <w:hideMark/>
          </w:tcPr>
          <w:p w14:paraId="7FB444E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1C47EA1" w14:textId="6A913612"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2A3AB431" w14:textId="6AA10EF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-0.048206155</w:t>
            </w:r>
          </w:p>
        </w:tc>
        <w:tc>
          <w:tcPr>
            <w:tcW w:w="1559" w:type="dxa"/>
            <w:tcBorders>
              <w:top w:val="nil"/>
              <w:left w:val="nil"/>
              <w:bottom w:val="nil"/>
              <w:right w:val="nil"/>
            </w:tcBorders>
            <w:shd w:val="clear" w:color="auto" w:fill="auto"/>
            <w:noWrap/>
            <w:vAlign w:val="bottom"/>
            <w:hideMark/>
          </w:tcPr>
          <w:p w14:paraId="291F7D24" w14:textId="5492AD6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5.16252E-16</w:t>
            </w:r>
          </w:p>
        </w:tc>
        <w:tc>
          <w:tcPr>
            <w:tcW w:w="1276" w:type="dxa"/>
            <w:tcBorders>
              <w:top w:val="nil"/>
              <w:left w:val="nil"/>
              <w:bottom w:val="nil"/>
              <w:right w:val="nil"/>
            </w:tcBorders>
            <w:shd w:val="clear" w:color="auto" w:fill="auto"/>
            <w:noWrap/>
            <w:vAlign w:val="bottom"/>
            <w:hideMark/>
          </w:tcPr>
          <w:p w14:paraId="3810908A" w14:textId="5DF8A6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3B259E6E" w14:textId="77777777" w:rsidTr="00F115D6">
        <w:trPr>
          <w:trHeight w:val="270"/>
          <w:jc w:val="center"/>
        </w:trPr>
        <w:tc>
          <w:tcPr>
            <w:tcW w:w="426" w:type="dxa"/>
            <w:vMerge/>
            <w:tcBorders>
              <w:top w:val="nil"/>
              <w:left w:val="nil"/>
              <w:bottom w:val="nil"/>
              <w:right w:val="nil"/>
            </w:tcBorders>
            <w:vAlign w:val="center"/>
            <w:hideMark/>
          </w:tcPr>
          <w:p w14:paraId="2064D580"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75F5C00" w14:textId="13888A10"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059574D" w14:textId="4685E16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1.378532271</w:t>
            </w:r>
          </w:p>
        </w:tc>
        <w:tc>
          <w:tcPr>
            <w:tcW w:w="1559" w:type="dxa"/>
            <w:tcBorders>
              <w:top w:val="nil"/>
              <w:left w:val="nil"/>
              <w:bottom w:val="nil"/>
              <w:right w:val="nil"/>
            </w:tcBorders>
            <w:shd w:val="clear" w:color="auto" w:fill="auto"/>
            <w:noWrap/>
            <w:vAlign w:val="bottom"/>
            <w:hideMark/>
          </w:tcPr>
          <w:p w14:paraId="7E76DCA4" w14:textId="2095246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1.502878749</w:t>
            </w:r>
          </w:p>
        </w:tc>
        <w:tc>
          <w:tcPr>
            <w:tcW w:w="1276" w:type="dxa"/>
            <w:tcBorders>
              <w:top w:val="nil"/>
              <w:left w:val="nil"/>
              <w:bottom w:val="nil"/>
              <w:right w:val="nil"/>
            </w:tcBorders>
            <w:shd w:val="clear" w:color="auto" w:fill="auto"/>
            <w:noWrap/>
            <w:vAlign w:val="bottom"/>
            <w:hideMark/>
          </w:tcPr>
          <w:p w14:paraId="30FB7E36" w14:textId="0DE6F40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0E474F16" w14:textId="77777777" w:rsidTr="00F115D6">
        <w:trPr>
          <w:trHeight w:val="270"/>
          <w:jc w:val="center"/>
        </w:trPr>
        <w:tc>
          <w:tcPr>
            <w:tcW w:w="426" w:type="dxa"/>
            <w:vMerge/>
            <w:tcBorders>
              <w:top w:val="nil"/>
              <w:left w:val="nil"/>
              <w:bottom w:val="nil"/>
              <w:right w:val="nil"/>
            </w:tcBorders>
            <w:vAlign w:val="center"/>
            <w:hideMark/>
          </w:tcPr>
          <w:p w14:paraId="2D3BC0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4FD141" w14:textId="796F102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591B9529" w14:textId="62129D5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-15.945</w:t>
            </w:r>
          </w:p>
        </w:tc>
        <w:tc>
          <w:tcPr>
            <w:tcW w:w="1559" w:type="dxa"/>
            <w:tcBorders>
              <w:top w:val="nil"/>
              <w:left w:val="nil"/>
              <w:bottom w:val="nil"/>
              <w:right w:val="nil"/>
            </w:tcBorders>
            <w:shd w:val="clear" w:color="auto" w:fill="auto"/>
            <w:noWrap/>
            <w:vAlign w:val="bottom"/>
            <w:hideMark/>
          </w:tcPr>
          <w:p w14:paraId="12362AFA" w14:textId="2CD1C2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-1.80273722</w:t>
            </w:r>
          </w:p>
        </w:tc>
        <w:tc>
          <w:tcPr>
            <w:tcW w:w="1276" w:type="dxa"/>
            <w:tcBorders>
              <w:top w:val="nil"/>
              <w:left w:val="nil"/>
              <w:bottom w:val="nil"/>
              <w:right w:val="nil"/>
            </w:tcBorders>
            <w:shd w:val="clear" w:color="auto" w:fill="auto"/>
            <w:noWrap/>
            <w:vAlign w:val="bottom"/>
            <w:hideMark/>
          </w:tcPr>
          <w:p w14:paraId="431B6D92" w14:textId="2BCBFB1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1FA5FF56" w14:textId="77777777" w:rsidTr="00F115D6">
        <w:trPr>
          <w:trHeight w:val="270"/>
          <w:jc w:val="center"/>
        </w:trPr>
        <w:tc>
          <w:tcPr>
            <w:tcW w:w="426" w:type="dxa"/>
            <w:vMerge/>
            <w:tcBorders>
              <w:top w:val="nil"/>
              <w:left w:val="nil"/>
              <w:bottom w:val="nil"/>
              <w:right w:val="nil"/>
            </w:tcBorders>
            <w:vAlign w:val="center"/>
            <w:hideMark/>
          </w:tcPr>
          <w:p w14:paraId="60B1B8A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1D070C89" w14:textId="4350B7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32789A05" w14:textId="5840BE20"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6.602</w:t>
            </w:r>
          </w:p>
        </w:tc>
        <w:tc>
          <w:tcPr>
            <w:tcW w:w="1559" w:type="dxa"/>
            <w:tcBorders>
              <w:top w:val="nil"/>
              <w:left w:val="nil"/>
              <w:bottom w:val="nil"/>
              <w:right w:val="nil"/>
            </w:tcBorders>
            <w:shd w:val="clear" w:color="auto" w:fill="auto"/>
            <w:noWrap/>
            <w:vAlign w:val="bottom"/>
            <w:hideMark/>
          </w:tcPr>
          <w:p w14:paraId="57B978C6" w14:textId="68EFBC9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5.603192118</w:t>
            </w:r>
          </w:p>
        </w:tc>
        <w:tc>
          <w:tcPr>
            <w:tcW w:w="1276" w:type="dxa"/>
            <w:tcBorders>
              <w:top w:val="nil"/>
              <w:left w:val="nil"/>
              <w:bottom w:val="nil"/>
              <w:right w:val="nil"/>
            </w:tcBorders>
            <w:shd w:val="clear" w:color="auto" w:fill="auto"/>
            <w:noWrap/>
            <w:vAlign w:val="bottom"/>
            <w:hideMark/>
          </w:tcPr>
          <w:p w14:paraId="015B1E4C" w14:textId="62A31B8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4C9E6F45" w14:textId="77777777" w:rsidTr="00F115D6">
        <w:trPr>
          <w:trHeight w:val="270"/>
          <w:jc w:val="center"/>
        </w:trPr>
        <w:tc>
          <w:tcPr>
            <w:tcW w:w="426" w:type="dxa"/>
            <w:vMerge/>
            <w:tcBorders>
              <w:top w:val="nil"/>
              <w:left w:val="nil"/>
              <w:bottom w:val="nil"/>
              <w:right w:val="nil"/>
            </w:tcBorders>
            <w:vAlign w:val="center"/>
            <w:hideMark/>
          </w:tcPr>
          <w:p w14:paraId="3E4142C9"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ABF55E" w14:textId="5B8CE76F"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27F0FF4D" w14:textId="1A6299A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637EF2E1" w14:textId="2111380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18388DA3" w14:textId="2C9E9C1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r w:rsidR="00E960F5" w:rsidRPr="00AC4B5A" w14:paraId="6FC3174A"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51F87B9" w14:textId="5D44F2A4"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创业板指</w:t>
            </w:r>
          </w:p>
        </w:tc>
        <w:tc>
          <w:tcPr>
            <w:tcW w:w="1080" w:type="dxa"/>
            <w:tcBorders>
              <w:top w:val="nil"/>
              <w:left w:val="nil"/>
              <w:bottom w:val="nil"/>
              <w:right w:val="nil"/>
            </w:tcBorders>
            <w:shd w:val="clear" w:color="auto" w:fill="auto"/>
            <w:noWrap/>
            <w:vAlign w:val="bottom"/>
            <w:hideMark/>
          </w:tcPr>
          <w:p w14:paraId="55A6C65B" w14:textId="38D17176"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A147E87" w14:textId="0967F1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559" w:type="dxa"/>
            <w:tcBorders>
              <w:top w:val="nil"/>
              <w:left w:val="nil"/>
              <w:bottom w:val="nil"/>
              <w:right w:val="nil"/>
            </w:tcBorders>
            <w:shd w:val="clear" w:color="auto" w:fill="auto"/>
            <w:noWrap/>
            <w:vAlign w:val="bottom"/>
            <w:hideMark/>
          </w:tcPr>
          <w:p w14:paraId="7F46E957" w14:textId="46E561F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276" w:type="dxa"/>
            <w:tcBorders>
              <w:top w:val="nil"/>
              <w:left w:val="nil"/>
              <w:bottom w:val="nil"/>
              <w:right w:val="nil"/>
            </w:tcBorders>
            <w:shd w:val="clear" w:color="auto" w:fill="auto"/>
            <w:noWrap/>
            <w:vAlign w:val="bottom"/>
            <w:hideMark/>
          </w:tcPr>
          <w:p w14:paraId="5E72A8D0" w14:textId="3DEAB39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r>
      <w:tr w:rsidR="00E960F5" w:rsidRPr="00AC4B5A" w14:paraId="7BCA7E14" w14:textId="77777777" w:rsidTr="00F115D6">
        <w:trPr>
          <w:trHeight w:val="270"/>
          <w:jc w:val="center"/>
        </w:trPr>
        <w:tc>
          <w:tcPr>
            <w:tcW w:w="426" w:type="dxa"/>
            <w:vMerge/>
            <w:tcBorders>
              <w:top w:val="nil"/>
              <w:left w:val="nil"/>
              <w:bottom w:val="nil"/>
              <w:right w:val="nil"/>
            </w:tcBorders>
            <w:vAlign w:val="center"/>
            <w:hideMark/>
          </w:tcPr>
          <w:p w14:paraId="2A616905"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606B776" w14:textId="3A0AB4C4"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7AB9111D" w14:textId="010A18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0.165844402</w:t>
            </w:r>
          </w:p>
        </w:tc>
        <w:tc>
          <w:tcPr>
            <w:tcW w:w="1559" w:type="dxa"/>
            <w:tcBorders>
              <w:top w:val="nil"/>
              <w:left w:val="nil"/>
              <w:bottom w:val="nil"/>
              <w:right w:val="nil"/>
            </w:tcBorders>
            <w:shd w:val="clear" w:color="auto" w:fill="auto"/>
            <w:noWrap/>
            <w:vAlign w:val="bottom"/>
            <w:hideMark/>
          </w:tcPr>
          <w:p w14:paraId="28D2916E" w14:textId="27BFFE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2.19411E-16</w:t>
            </w:r>
          </w:p>
        </w:tc>
        <w:tc>
          <w:tcPr>
            <w:tcW w:w="1276" w:type="dxa"/>
            <w:tcBorders>
              <w:top w:val="nil"/>
              <w:left w:val="nil"/>
              <w:bottom w:val="nil"/>
              <w:right w:val="nil"/>
            </w:tcBorders>
            <w:shd w:val="clear" w:color="auto" w:fill="auto"/>
            <w:noWrap/>
            <w:vAlign w:val="bottom"/>
            <w:hideMark/>
          </w:tcPr>
          <w:p w14:paraId="3121E13C" w14:textId="4DBDF5D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2.9755356</w:t>
            </w:r>
          </w:p>
        </w:tc>
      </w:tr>
      <w:tr w:rsidR="00E960F5" w:rsidRPr="00AC4B5A" w14:paraId="4749E50A" w14:textId="77777777" w:rsidTr="00F115D6">
        <w:trPr>
          <w:trHeight w:val="270"/>
          <w:jc w:val="center"/>
        </w:trPr>
        <w:tc>
          <w:tcPr>
            <w:tcW w:w="426" w:type="dxa"/>
            <w:vMerge/>
            <w:tcBorders>
              <w:top w:val="nil"/>
              <w:left w:val="nil"/>
              <w:bottom w:val="nil"/>
              <w:right w:val="nil"/>
            </w:tcBorders>
            <w:vAlign w:val="center"/>
            <w:hideMark/>
          </w:tcPr>
          <w:p w14:paraId="2253C9D1"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37216D8" w14:textId="5D81B5FD"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4AE30D9F" w14:textId="41ADA14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5.500450626</w:t>
            </w:r>
          </w:p>
        </w:tc>
        <w:tc>
          <w:tcPr>
            <w:tcW w:w="1559" w:type="dxa"/>
            <w:tcBorders>
              <w:top w:val="nil"/>
              <w:left w:val="nil"/>
              <w:bottom w:val="nil"/>
              <w:right w:val="nil"/>
            </w:tcBorders>
            <w:shd w:val="clear" w:color="auto" w:fill="auto"/>
            <w:noWrap/>
            <w:vAlign w:val="bottom"/>
            <w:hideMark/>
          </w:tcPr>
          <w:p w14:paraId="038E6C99" w14:textId="383EF57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1.046652916</w:t>
            </w:r>
          </w:p>
        </w:tc>
        <w:tc>
          <w:tcPr>
            <w:tcW w:w="1276" w:type="dxa"/>
            <w:tcBorders>
              <w:top w:val="nil"/>
              <w:left w:val="nil"/>
              <w:bottom w:val="nil"/>
              <w:right w:val="nil"/>
            </w:tcBorders>
            <w:shd w:val="clear" w:color="auto" w:fill="auto"/>
            <w:noWrap/>
            <w:vAlign w:val="bottom"/>
            <w:hideMark/>
          </w:tcPr>
          <w:p w14:paraId="09E8E946" w14:textId="5F900E4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0.3890731</w:t>
            </w:r>
          </w:p>
        </w:tc>
      </w:tr>
      <w:tr w:rsidR="00E960F5" w:rsidRPr="00AC4B5A" w14:paraId="314FC532" w14:textId="77777777" w:rsidTr="00F115D6">
        <w:trPr>
          <w:trHeight w:val="270"/>
          <w:jc w:val="center"/>
        </w:trPr>
        <w:tc>
          <w:tcPr>
            <w:tcW w:w="426" w:type="dxa"/>
            <w:vMerge/>
            <w:tcBorders>
              <w:top w:val="nil"/>
              <w:left w:val="nil"/>
              <w:bottom w:val="nil"/>
              <w:right w:val="nil"/>
            </w:tcBorders>
            <w:vAlign w:val="center"/>
            <w:hideMark/>
          </w:tcPr>
          <w:p w14:paraId="78E49CD3"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56155F1" w14:textId="21C386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322AF22B" w14:textId="2E4A896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-31.22</w:t>
            </w:r>
          </w:p>
        </w:tc>
        <w:tc>
          <w:tcPr>
            <w:tcW w:w="1559" w:type="dxa"/>
            <w:tcBorders>
              <w:top w:val="nil"/>
              <w:left w:val="nil"/>
              <w:bottom w:val="nil"/>
              <w:right w:val="nil"/>
            </w:tcBorders>
            <w:shd w:val="clear" w:color="auto" w:fill="auto"/>
            <w:noWrap/>
            <w:vAlign w:val="bottom"/>
            <w:hideMark/>
          </w:tcPr>
          <w:p w14:paraId="34991996" w14:textId="488E508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-3.50297409</w:t>
            </w:r>
          </w:p>
        </w:tc>
        <w:tc>
          <w:tcPr>
            <w:tcW w:w="1276" w:type="dxa"/>
            <w:tcBorders>
              <w:top w:val="nil"/>
              <w:left w:val="nil"/>
              <w:bottom w:val="nil"/>
              <w:right w:val="nil"/>
            </w:tcBorders>
            <w:shd w:val="clear" w:color="auto" w:fill="auto"/>
            <w:noWrap/>
            <w:vAlign w:val="bottom"/>
            <w:hideMark/>
          </w:tcPr>
          <w:p w14:paraId="707771A5" w14:textId="1C2513A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2.35786</w:t>
            </w:r>
          </w:p>
        </w:tc>
      </w:tr>
      <w:tr w:rsidR="00E960F5" w:rsidRPr="00AC4B5A" w14:paraId="08EF49C1" w14:textId="77777777" w:rsidTr="00F115D6">
        <w:trPr>
          <w:trHeight w:val="270"/>
          <w:jc w:val="center"/>
        </w:trPr>
        <w:tc>
          <w:tcPr>
            <w:tcW w:w="426" w:type="dxa"/>
            <w:vMerge/>
            <w:tcBorders>
              <w:top w:val="nil"/>
              <w:left w:val="nil"/>
              <w:bottom w:val="nil"/>
              <w:right w:val="nil"/>
            </w:tcBorders>
            <w:vAlign w:val="center"/>
            <w:hideMark/>
          </w:tcPr>
          <w:p w14:paraId="5C4CEB8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F558A4" w14:textId="4DAD0F7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18564BF2" w14:textId="556D4B6D"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43.25</w:t>
            </w:r>
          </w:p>
        </w:tc>
        <w:tc>
          <w:tcPr>
            <w:tcW w:w="1559" w:type="dxa"/>
            <w:tcBorders>
              <w:top w:val="nil"/>
              <w:left w:val="nil"/>
              <w:bottom w:val="nil"/>
              <w:right w:val="nil"/>
            </w:tcBorders>
            <w:shd w:val="clear" w:color="auto" w:fill="auto"/>
            <w:noWrap/>
            <w:vAlign w:val="bottom"/>
            <w:hideMark/>
          </w:tcPr>
          <w:p w14:paraId="41AC3784" w14:textId="03E0505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4.977782379</w:t>
            </w:r>
          </w:p>
        </w:tc>
        <w:tc>
          <w:tcPr>
            <w:tcW w:w="1276" w:type="dxa"/>
            <w:tcBorders>
              <w:top w:val="nil"/>
              <w:left w:val="nil"/>
              <w:bottom w:val="nil"/>
              <w:right w:val="nil"/>
            </w:tcBorders>
            <w:shd w:val="clear" w:color="auto" w:fill="auto"/>
            <w:noWrap/>
            <w:vAlign w:val="bottom"/>
            <w:hideMark/>
          </w:tcPr>
          <w:p w14:paraId="06DA8A10" w14:textId="2506A45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4.1037718</w:t>
            </w:r>
          </w:p>
        </w:tc>
      </w:tr>
      <w:tr w:rsidR="00E960F5" w:rsidRPr="00AC4B5A" w14:paraId="7B72D047" w14:textId="77777777" w:rsidTr="00F115D6">
        <w:trPr>
          <w:trHeight w:val="270"/>
          <w:jc w:val="center"/>
        </w:trPr>
        <w:tc>
          <w:tcPr>
            <w:tcW w:w="426" w:type="dxa"/>
            <w:vMerge/>
            <w:tcBorders>
              <w:top w:val="nil"/>
              <w:left w:val="nil"/>
              <w:bottom w:val="nil"/>
              <w:right w:val="nil"/>
            </w:tcBorders>
            <w:vAlign w:val="center"/>
            <w:hideMark/>
          </w:tcPr>
          <w:p w14:paraId="5EED1E9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9BB90E0" w14:textId="79F03E5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3BB1AB2E" w14:textId="1093A8F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2A00DA54" w14:textId="0BC5787A"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7DC4A174" w14:textId="31ABA003"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r>
      <w:tr w:rsidR="00E960F5" w:rsidRPr="00AC4B5A" w14:paraId="2FAEE5EC"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EAD3EC8" w14:textId="79B2A038"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深证成指</w:t>
            </w:r>
          </w:p>
        </w:tc>
        <w:tc>
          <w:tcPr>
            <w:tcW w:w="1080" w:type="dxa"/>
            <w:tcBorders>
              <w:top w:val="nil"/>
              <w:left w:val="nil"/>
              <w:bottom w:val="nil"/>
              <w:right w:val="nil"/>
            </w:tcBorders>
            <w:shd w:val="clear" w:color="auto" w:fill="auto"/>
            <w:noWrap/>
            <w:vAlign w:val="bottom"/>
            <w:hideMark/>
          </w:tcPr>
          <w:p w14:paraId="574E7CC2" w14:textId="6DC82D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9151349" w14:textId="1322FA6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nil"/>
              <w:left w:val="nil"/>
              <w:bottom w:val="nil"/>
              <w:right w:val="nil"/>
            </w:tcBorders>
            <w:shd w:val="clear" w:color="auto" w:fill="auto"/>
            <w:noWrap/>
            <w:vAlign w:val="bottom"/>
            <w:hideMark/>
          </w:tcPr>
          <w:p w14:paraId="3891DE8B" w14:textId="6BE6D3E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nil"/>
              <w:left w:val="nil"/>
              <w:bottom w:val="nil"/>
              <w:right w:val="nil"/>
            </w:tcBorders>
            <w:shd w:val="clear" w:color="auto" w:fill="auto"/>
            <w:noWrap/>
            <w:vAlign w:val="bottom"/>
            <w:hideMark/>
          </w:tcPr>
          <w:p w14:paraId="4F133A42" w14:textId="2C75A86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353D9139" w14:textId="77777777" w:rsidTr="00F115D6">
        <w:trPr>
          <w:trHeight w:val="270"/>
          <w:jc w:val="center"/>
        </w:trPr>
        <w:tc>
          <w:tcPr>
            <w:tcW w:w="426" w:type="dxa"/>
            <w:vMerge/>
            <w:tcBorders>
              <w:top w:val="nil"/>
              <w:left w:val="nil"/>
              <w:bottom w:val="nil"/>
              <w:right w:val="nil"/>
            </w:tcBorders>
            <w:vAlign w:val="center"/>
            <w:hideMark/>
          </w:tcPr>
          <w:p w14:paraId="63B75072"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960AB8" w14:textId="4403C98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3925FE80" w14:textId="6435C72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-0.054864664</w:t>
            </w:r>
          </w:p>
        </w:tc>
        <w:tc>
          <w:tcPr>
            <w:tcW w:w="1559" w:type="dxa"/>
            <w:tcBorders>
              <w:top w:val="nil"/>
              <w:left w:val="nil"/>
              <w:bottom w:val="nil"/>
              <w:right w:val="nil"/>
            </w:tcBorders>
            <w:shd w:val="clear" w:color="auto" w:fill="auto"/>
            <w:noWrap/>
            <w:vAlign w:val="bottom"/>
            <w:hideMark/>
          </w:tcPr>
          <w:p w14:paraId="01A13D2F" w14:textId="0405CD1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5.43668E-16</w:t>
            </w:r>
          </w:p>
        </w:tc>
        <w:tc>
          <w:tcPr>
            <w:tcW w:w="1276" w:type="dxa"/>
            <w:tcBorders>
              <w:top w:val="nil"/>
              <w:left w:val="nil"/>
              <w:bottom w:val="nil"/>
              <w:right w:val="nil"/>
            </w:tcBorders>
            <w:shd w:val="clear" w:color="auto" w:fill="auto"/>
            <w:noWrap/>
            <w:vAlign w:val="bottom"/>
            <w:hideMark/>
          </w:tcPr>
          <w:p w14:paraId="21B4EEE5" w14:textId="1A6048C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720CFF93" w14:textId="77777777" w:rsidTr="00F115D6">
        <w:trPr>
          <w:trHeight w:val="270"/>
          <w:jc w:val="center"/>
        </w:trPr>
        <w:tc>
          <w:tcPr>
            <w:tcW w:w="426" w:type="dxa"/>
            <w:vMerge/>
            <w:tcBorders>
              <w:top w:val="nil"/>
              <w:left w:val="nil"/>
              <w:bottom w:val="nil"/>
              <w:right w:val="nil"/>
            </w:tcBorders>
            <w:vAlign w:val="center"/>
            <w:hideMark/>
          </w:tcPr>
          <w:p w14:paraId="15F908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C2D961" w14:textId="41482CE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71A0431" w14:textId="6E1D44B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1.904556672</w:t>
            </w:r>
          </w:p>
        </w:tc>
        <w:tc>
          <w:tcPr>
            <w:tcW w:w="1559" w:type="dxa"/>
            <w:tcBorders>
              <w:top w:val="nil"/>
              <w:left w:val="nil"/>
              <w:bottom w:val="nil"/>
              <w:right w:val="nil"/>
            </w:tcBorders>
            <w:shd w:val="clear" w:color="auto" w:fill="auto"/>
            <w:noWrap/>
            <w:vAlign w:val="bottom"/>
            <w:hideMark/>
          </w:tcPr>
          <w:p w14:paraId="0C1F9280" w14:textId="4A482F0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1.273639859</w:t>
            </w:r>
          </w:p>
        </w:tc>
        <w:tc>
          <w:tcPr>
            <w:tcW w:w="1276" w:type="dxa"/>
            <w:tcBorders>
              <w:top w:val="nil"/>
              <w:left w:val="nil"/>
              <w:bottom w:val="nil"/>
              <w:right w:val="nil"/>
            </w:tcBorders>
            <w:shd w:val="clear" w:color="auto" w:fill="auto"/>
            <w:noWrap/>
            <w:vAlign w:val="bottom"/>
            <w:hideMark/>
          </w:tcPr>
          <w:p w14:paraId="3243E74B" w14:textId="5690DF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703E8A79" w14:textId="77777777" w:rsidTr="00F115D6">
        <w:trPr>
          <w:trHeight w:val="270"/>
          <w:jc w:val="center"/>
        </w:trPr>
        <w:tc>
          <w:tcPr>
            <w:tcW w:w="426" w:type="dxa"/>
            <w:vMerge/>
            <w:tcBorders>
              <w:top w:val="nil"/>
              <w:left w:val="nil"/>
              <w:bottom w:val="nil"/>
              <w:right w:val="nil"/>
            </w:tcBorders>
            <w:vAlign w:val="center"/>
            <w:hideMark/>
          </w:tcPr>
          <w:p w14:paraId="77B58BFE"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C892ED" w14:textId="2FB9ACF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4BB9471E" w14:textId="6816A5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-16.37</w:t>
            </w:r>
          </w:p>
        </w:tc>
        <w:tc>
          <w:tcPr>
            <w:tcW w:w="1559" w:type="dxa"/>
            <w:tcBorders>
              <w:top w:val="nil"/>
              <w:left w:val="nil"/>
              <w:bottom w:val="nil"/>
              <w:right w:val="nil"/>
            </w:tcBorders>
            <w:shd w:val="clear" w:color="auto" w:fill="auto"/>
            <w:noWrap/>
            <w:vAlign w:val="bottom"/>
            <w:hideMark/>
          </w:tcPr>
          <w:p w14:paraId="1DEA2C82" w14:textId="123C05D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-2.07100959</w:t>
            </w:r>
          </w:p>
        </w:tc>
        <w:tc>
          <w:tcPr>
            <w:tcW w:w="1276" w:type="dxa"/>
            <w:tcBorders>
              <w:top w:val="nil"/>
              <w:left w:val="nil"/>
              <w:bottom w:val="nil"/>
              <w:right w:val="nil"/>
            </w:tcBorders>
            <w:shd w:val="clear" w:color="auto" w:fill="auto"/>
            <w:noWrap/>
            <w:vAlign w:val="bottom"/>
            <w:hideMark/>
          </w:tcPr>
          <w:p w14:paraId="3BBA2C34" w14:textId="17B08E3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453D9401" w14:textId="77777777" w:rsidTr="00F115D6">
        <w:trPr>
          <w:trHeight w:val="270"/>
          <w:jc w:val="center"/>
        </w:trPr>
        <w:tc>
          <w:tcPr>
            <w:tcW w:w="426" w:type="dxa"/>
            <w:vMerge/>
            <w:tcBorders>
              <w:top w:val="nil"/>
              <w:left w:val="nil"/>
              <w:bottom w:val="nil"/>
              <w:right w:val="nil"/>
            </w:tcBorders>
            <w:vAlign w:val="center"/>
            <w:hideMark/>
          </w:tcPr>
          <w:p w14:paraId="2A533E04"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67EF53F" w14:textId="223519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5F934AE6" w14:textId="35DF600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13.59</w:t>
            </w:r>
          </w:p>
        </w:tc>
        <w:tc>
          <w:tcPr>
            <w:tcW w:w="1559" w:type="dxa"/>
            <w:tcBorders>
              <w:top w:val="nil"/>
              <w:left w:val="nil"/>
              <w:bottom w:val="nil"/>
              <w:right w:val="nil"/>
            </w:tcBorders>
            <w:shd w:val="clear" w:color="auto" w:fill="auto"/>
            <w:noWrap/>
            <w:vAlign w:val="bottom"/>
            <w:hideMark/>
          </w:tcPr>
          <w:p w14:paraId="30AD51AA" w14:textId="6CFAA17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4.733494947</w:t>
            </w:r>
          </w:p>
        </w:tc>
        <w:tc>
          <w:tcPr>
            <w:tcW w:w="1276" w:type="dxa"/>
            <w:tcBorders>
              <w:top w:val="nil"/>
              <w:left w:val="nil"/>
              <w:bottom w:val="nil"/>
              <w:right w:val="nil"/>
            </w:tcBorders>
            <w:shd w:val="clear" w:color="auto" w:fill="auto"/>
            <w:noWrap/>
            <w:vAlign w:val="bottom"/>
            <w:hideMark/>
          </w:tcPr>
          <w:p w14:paraId="0422C71F" w14:textId="6F08328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3A0FD523" w14:textId="77777777" w:rsidTr="00A64357">
        <w:trPr>
          <w:trHeight w:val="270"/>
          <w:jc w:val="center"/>
        </w:trPr>
        <w:tc>
          <w:tcPr>
            <w:tcW w:w="426" w:type="dxa"/>
            <w:vMerge/>
            <w:tcBorders>
              <w:top w:val="nil"/>
              <w:left w:val="nil"/>
              <w:bottom w:val="single" w:sz="4" w:space="0" w:color="auto"/>
              <w:right w:val="nil"/>
            </w:tcBorders>
            <w:vAlign w:val="center"/>
            <w:hideMark/>
          </w:tcPr>
          <w:p w14:paraId="6663B67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single" w:sz="4" w:space="0" w:color="auto"/>
              <w:right w:val="nil"/>
            </w:tcBorders>
            <w:shd w:val="clear" w:color="auto" w:fill="auto"/>
            <w:noWrap/>
            <w:vAlign w:val="bottom"/>
            <w:hideMark/>
          </w:tcPr>
          <w:p w14:paraId="1A5CC83B" w14:textId="17622E9C"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single" w:sz="4" w:space="0" w:color="auto"/>
              <w:right w:val="nil"/>
            </w:tcBorders>
            <w:shd w:val="clear" w:color="auto" w:fill="auto"/>
            <w:noWrap/>
            <w:vAlign w:val="bottom"/>
            <w:hideMark/>
          </w:tcPr>
          <w:p w14:paraId="747A4BB5" w14:textId="7E906A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single" w:sz="4" w:space="0" w:color="auto"/>
              <w:right w:val="nil"/>
            </w:tcBorders>
            <w:shd w:val="clear" w:color="auto" w:fill="auto"/>
            <w:noWrap/>
            <w:vAlign w:val="bottom"/>
            <w:hideMark/>
          </w:tcPr>
          <w:p w14:paraId="12B75B83" w14:textId="0080F92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single" w:sz="4" w:space="0" w:color="auto"/>
              <w:right w:val="nil"/>
            </w:tcBorders>
            <w:shd w:val="clear" w:color="auto" w:fill="auto"/>
            <w:noWrap/>
            <w:vAlign w:val="bottom"/>
            <w:hideMark/>
          </w:tcPr>
          <w:p w14:paraId="1F3E74B4" w14:textId="6EE2249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bl>
    <w:p w14:paraId="6ED895C9" w14:textId="77777777" w:rsidR="00922E5F" w:rsidRDefault="00922E5F" w:rsidP="003864B0">
      <w:pPr>
        <w:pStyle w:val="ac"/>
        <w:ind w:firstLineChars="0" w:firstLine="0"/>
      </w:pPr>
    </w:p>
    <w:p w14:paraId="3EF0ECA9" w14:textId="04A0402C" w:rsidR="00E532F8" w:rsidRDefault="00620CE5" w:rsidP="00E532F8">
      <w:pPr>
        <w:pStyle w:val="a0"/>
        <w:spacing w:before="156"/>
      </w:pPr>
      <w:bookmarkStart w:id="45" w:name="_Toc3381505"/>
      <w:r>
        <w:rPr>
          <w:rFonts w:hint="eastAsia"/>
        </w:rPr>
        <w:lastRenderedPageBreak/>
        <w:t>日历效应影响因素</w:t>
      </w:r>
      <w:r w:rsidR="00BB1A40">
        <w:rPr>
          <w:rFonts w:hint="eastAsia"/>
        </w:rPr>
        <w:t>实证分析</w:t>
      </w:r>
      <w:bookmarkEnd w:id="45"/>
    </w:p>
    <w:p w14:paraId="73D98AF8" w14:textId="7D91B3D7" w:rsidR="003B3A6B" w:rsidRDefault="00620CE5" w:rsidP="00620CE5">
      <w:pPr>
        <w:pStyle w:val="a1"/>
        <w:spacing w:before="156" w:after="156"/>
      </w:pPr>
      <w:bookmarkStart w:id="46" w:name="_Toc3381506"/>
      <w:r>
        <w:rPr>
          <w:rFonts w:hint="eastAsia"/>
        </w:rPr>
        <w:t>实证结果</w:t>
      </w:r>
      <w:bookmarkEnd w:id="46"/>
    </w:p>
    <w:p w14:paraId="72C8C081" w14:textId="2D8AA1BC"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954" w:type="dxa"/>
        <w:jc w:val="center"/>
        <w:tblLook w:val="04A0" w:firstRow="1" w:lastRow="0" w:firstColumn="1" w:lastColumn="0" w:noHBand="0" w:noVBand="1"/>
      </w:tblPr>
      <w:tblGrid>
        <w:gridCol w:w="1222"/>
        <w:gridCol w:w="1080"/>
        <w:gridCol w:w="1296"/>
        <w:gridCol w:w="1080"/>
        <w:gridCol w:w="1276"/>
      </w:tblGrid>
      <w:tr w:rsidR="00D31D0F" w:rsidRPr="00D31D0F" w14:paraId="5C950F31" w14:textId="77777777" w:rsidTr="00AD60F0">
        <w:trPr>
          <w:trHeight w:hRule="exact" w:val="510"/>
          <w:jc w:val="center"/>
        </w:trPr>
        <w:tc>
          <w:tcPr>
            <w:tcW w:w="1222" w:type="dxa"/>
            <w:tcBorders>
              <w:top w:val="single" w:sz="4" w:space="0" w:color="auto"/>
              <w:left w:val="nil"/>
              <w:bottom w:val="single" w:sz="4" w:space="0" w:color="auto"/>
              <w:right w:val="nil"/>
            </w:tcBorders>
            <w:shd w:val="clear" w:color="auto" w:fill="auto"/>
            <w:noWrap/>
            <w:vAlign w:val="center"/>
            <w:hideMark/>
          </w:tcPr>
          <w:p w14:paraId="0A66D8A8"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080" w:type="dxa"/>
            <w:tcBorders>
              <w:top w:val="single" w:sz="4" w:space="0" w:color="auto"/>
              <w:left w:val="nil"/>
              <w:bottom w:val="single" w:sz="4" w:space="0" w:color="auto"/>
              <w:right w:val="nil"/>
            </w:tcBorders>
            <w:shd w:val="clear" w:color="auto" w:fill="auto"/>
            <w:noWrap/>
            <w:vAlign w:val="center"/>
            <w:hideMark/>
          </w:tcPr>
          <w:p w14:paraId="269250DE"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周历效应</w:t>
            </w:r>
          </w:p>
        </w:tc>
        <w:tc>
          <w:tcPr>
            <w:tcW w:w="1296" w:type="dxa"/>
            <w:tcBorders>
              <w:top w:val="single" w:sz="4" w:space="0" w:color="auto"/>
              <w:left w:val="nil"/>
              <w:bottom w:val="single" w:sz="4" w:space="0" w:color="auto"/>
              <w:right w:val="nil"/>
            </w:tcBorders>
            <w:shd w:val="clear" w:color="auto" w:fill="auto"/>
            <w:noWrap/>
            <w:vAlign w:val="center"/>
            <w:hideMark/>
          </w:tcPr>
          <w:p w14:paraId="56351217"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80" w:type="dxa"/>
            <w:tcBorders>
              <w:top w:val="single" w:sz="4" w:space="0" w:color="auto"/>
              <w:left w:val="nil"/>
              <w:bottom w:val="single" w:sz="4" w:space="0" w:color="auto"/>
              <w:right w:val="nil"/>
            </w:tcBorders>
            <w:shd w:val="clear" w:color="auto" w:fill="auto"/>
            <w:noWrap/>
            <w:vAlign w:val="center"/>
            <w:hideMark/>
          </w:tcPr>
          <w:p w14:paraId="4D03D419"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76" w:type="dxa"/>
            <w:tcBorders>
              <w:top w:val="single" w:sz="4" w:space="0" w:color="auto"/>
              <w:left w:val="nil"/>
              <w:bottom w:val="single" w:sz="4" w:space="0" w:color="auto"/>
              <w:right w:val="nil"/>
            </w:tcBorders>
            <w:shd w:val="clear" w:color="auto" w:fill="auto"/>
            <w:noWrap/>
            <w:vAlign w:val="center"/>
            <w:hideMark/>
          </w:tcPr>
          <w:p w14:paraId="26EC9175"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86378B" w:rsidRPr="00D31D0F" w14:paraId="75678787" w14:textId="77777777" w:rsidTr="00AD60F0">
        <w:trPr>
          <w:trHeight w:hRule="exact" w:val="567"/>
          <w:jc w:val="center"/>
        </w:trPr>
        <w:tc>
          <w:tcPr>
            <w:tcW w:w="1222" w:type="dxa"/>
            <w:tcBorders>
              <w:top w:val="single" w:sz="4" w:space="0" w:color="auto"/>
              <w:left w:val="nil"/>
              <w:bottom w:val="nil"/>
              <w:right w:val="nil"/>
            </w:tcBorders>
            <w:shd w:val="clear" w:color="auto" w:fill="auto"/>
            <w:noWrap/>
            <w:vAlign w:val="center"/>
            <w:hideMark/>
          </w:tcPr>
          <w:p w14:paraId="5D74B4E6" w14:textId="73A54F62"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center"/>
            <w:hideMark/>
          </w:tcPr>
          <w:p w14:paraId="614CBD2F"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802A7EA" w14:textId="3C1D367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-0.003027</w:t>
            </w:r>
            <w:r w:rsidRPr="008E3BCC">
              <w:rPr>
                <w:rFonts w:ascii="宋体" w:eastAsia="宋体" w:hAnsi="宋体" w:hint="eastAsia"/>
                <w:color w:val="000000"/>
                <w:szCs w:val="21"/>
              </w:rPr>
              <w:br/>
              <w:t>***</w:t>
            </w:r>
          </w:p>
        </w:tc>
        <w:tc>
          <w:tcPr>
            <w:tcW w:w="1080" w:type="dxa"/>
            <w:tcBorders>
              <w:top w:val="single" w:sz="4" w:space="0" w:color="auto"/>
              <w:left w:val="nil"/>
              <w:bottom w:val="nil"/>
              <w:right w:val="nil"/>
            </w:tcBorders>
            <w:shd w:val="clear" w:color="auto" w:fill="auto"/>
            <w:vAlign w:val="center"/>
            <w:hideMark/>
          </w:tcPr>
          <w:p w14:paraId="78F08ECD"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0.007383</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A343A9" w14:textId="2CDF5B51"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0.001184</w:t>
            </w:r>
            <w:r w:rsidRPr="0086378B">
              <w:rPr>
                <w:rFonts w:ascii="宋体" w:eastAsia="宋体" w:hAnsi="宋体" w:hint="eastAsia"/>
                <w:color w:val="000000"/>
                <w:szCs w:val="18"/>
              </w:rPr>
              <w:br/>
              <w:t>***</w:t>
            </w:r>
          </w:p>
        </w:tc>
      </w:tr>
      <w:tr w:rsidR="0086378B" w:rsidRPr="00D31D0F" w14:paraId="765E67A3"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FC73DC8" w14:textId="27E34CA0"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999DF5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正周一</w:t>
            </w:r>
          </w:p>
        </w:tc>
        <w:tc>
          <w:tcPr>
            <w:tcW w:w="1296" w:type="dxa"/>
            <w:tcBorders>
              <w:top w:val="nil"/>
              <w:left w:val="nil"/>
              <w:bottom w:val="nil"/>
              <w:right w:val="nil"/>
            </w:tcBorders>
            <w:shd w:val="clear" w:color="auto" w:fill="auto"/>
            <w:vAlign w:val="center"/>
            <w:hideMark/>
          </w:tcPr>
          <w:p w14:paraId="5F19396F" w14:textId="47BFCB2C"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-0.009536</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65BD3FB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284190D8" w14:textId="2E942665"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-0.002389</w:t>
            </w:r>
            <w:r w:rsidRPr="0086378B">
              <w:rPr>
                <w:rFonts w:ascii="宋体" w:eastAsia="宋体" w:hAnsi="宋体" w:hint="eastAsia"/>
                <w:color w:val="000000"/>
                <w:szCs w:val="18"/>
              </w:rPr>
              <w:br/>
              <w:t>***</w:t>
            </w:r>
          </w:p>
        </w:tc>
      </w:tr>
      <w:tr w:rsidR="0086378B" w:rsidRPr="00D31D0F" w14:paraId="1953A716"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EBAC8C2" w14:textId="55FF70D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7EB48DB8"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6FADC47A"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7857673D"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4C209728"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31CCA331"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393DAA65" w14:textId="4399A6DA"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0DBEAF66"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21D71F90" w14:textId="77777777" w:rsidR="0086378B" w:rsidRPr="00226081" w:rsidRDefault="0086378B" w:rsidP="0086378B">
            <w:pPr>
              <w:widowControl/>
              <w:jc w:val="center"/>
              <w:rPr>
                <w:rFonts w:ascii="宋体" w:eastAsia="宋体" w:hAnsi="宋体"/>
                <w:color w:val="000000"/>
                <w:szCs w:val="18"/>
              </w:rPr>
            </w:pPr>
            <w:r w:rsidRPr="00226081">
              <w:rPr>
                <w:rFonts w:ascii="宋体" w:eastAsia="宋体" w:hAnsi="宋体" w:hint="eastAsia"/>
                <w:color w:val="000000"/>
                <w:szCs w:val="18"/>
              </w:rPr>
              <w:t>-0.000984</w:t>
            </w:r>
            <w:r w:rsidRPr="00226081">
              <w:rPr>
                <w:rFonts w:ascii="宋体" w:eastAsia="宋体" w:hAnsi="宋体" w:hint="eastAsia"/>
                <w:color w:val="000000"/>
                <w:szCs w:val="18"/>
              </w:rPr>
              <w:br/>
              <w:t>***</w:t>
            </w:r>
          </w:p>
          <w:p w14:paraId="675B9333" w14:textId="734C9B75"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vAlign w:val="center"/>
            <w:hideMark/>
          </w:tcPr>
          <w:p w14:paraId="3F2AFFBE"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0.003956</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6FA1EB4C" w14:textId="660E2C5B"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0.001515</w:t>
            </w:r>
          </w:p>
        </w:tc>
      </w:tr>
      <w:tr w:rsidR="0086378B" w:rsidRPr="00D31D0F" w14:paraId="415C9049"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29D6DE3" w14:textId="78A2C77E"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C8D643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1749BDFD"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030A5500"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3E6B9C6B"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59B4D7B0"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7182214" w14:textId="17CC25DC"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13E01FC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正周五</w:t>
            </w:r>
          </w:p>
        </w:tc>
        <w:tc>
          <w:tcPr>
            <w:tcW w:w="1296" w:type="dxa"/>
            <w:tcBorders>
              <w:top w:val="nil"/>
              <w:left w:val="nil"/>
              <w:bottom w:val="nil"/>
              <w:right w:val="nil"/>
            </w:tcBorders>
            <w:shd w:val="clear" w:color="auto" w:fill="auto"/>
            <w:vAlign w:val="center"/>
            <w:hideMark/>
          </w:tcPr>
          <w:p w14:paraId="182FC5D9" w14:textId="23E2438F"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0.000959</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BC5E44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0.002835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1D37ED0" w14:textId="4FB00BC2"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-0.004195</w:t>
            </w:r>
            <w:r w:rsidRPr="0086378B">
              <w:rPr>
                <w:rFonts w:ascii="宋体" w:eastAsia="宋体" w:hAnsi="宋体" w:hint="eastAsia"/>
                <w:color w:val="000000"/>
                <w:szCs w:val="18"/>
              </w:rPr>
              <w:br/>
              <w:t>***</w:t>
            </w:r>
          </w:p>
        </w:tc>
      </w:tr>
      <w:tr w:rsidR="0086378B" w:rsidRPr="00D31D0F" w14:paraId="35F2F18B"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09C36AF5" w14:textId="0DD530C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28EB01B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AAC77C1" w14:textId="3A467FFE"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-0.002465</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257B1782"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0.005015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E419B62" w14:textId="719949C0"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0.001586</w:t>
            </w:r>
            <w:r w:rsidRPr="0086378B">
              <w:rPr>
                <w:rFonts w:ascii="宋体" w:eastAsia="宋体" w:hAnsi="宋体" w:hint="eastAsia"/>
                <w:color w:val="000000"/>
                <w:szCs w:val="18"/>
              </w:rPr>
              <w:br/>
              <w:t>***</w:t>
            </w:r>
          </w:p>
        </w:tc>
      </w:tr>
      <w:tr w:rsidR="0086378B" w:rsidRPr="00D31D0F" w14:paraId="4E583EAC"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44292D8C" w14:textId="46BD238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7AC53BB5" w14:textId="098B7C74"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负周五</w:t>
            </w:r>
          </w:p>
        </w:tc>
        <w:tc>
          <w:tcPr>
            <w:tcW w:w="1296" w:type="dxa"/>
            <w:tcBorders>
              <w:top w:val="nil"/>
              <w:left w:val="nil"/>
              <w:bottom w:val="nil"/>
              <w:right w:val="nil"/>
            </w:tcBorders>
            <w:shd w:val="clear" w:color="auto" w:fill="auto"/>
            <w:vAlign w:val="center"/>
            <w:hideMark/>
          </w:tcPr>
          <w:p w14:paraId="7B908583" w14:textId="3DA91235"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-0.002612</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25EEF0B"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0.003282</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056DF6" w14:textId="7C602C7A"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0.000050</w:t>
            </w:r>
          </w:p>
        </w:tc>
      </w:tr>
      <w:tr w:rsidR="0086378B" w:rsidRPr="00D31D0F" w14:paraId="7A322925" w14:textId="77777777" w:rsidTr="00AD60F0">
        <w:trPr>
          <w:trHeight w:hRule="exact" w:val="567"/>
          <w:jc w:val="center"/>
        </w:trPr>
        <w:tc>
          <w:tcPr>
            <w:tcW w:w="1222" w:type="dxa"/>
            <w:tcBorders>
              <w:top w:val="nil"/>
              <w:left w:val="nil"/>
              <w:bottom w:val="single" w:sz="4" w:space="0" w:color="auto"/>
              <w:right w:val="nil"/>
            </w:tcBorders>
            <w:shd w:val="clear" w:color="auto" w:fill="auto"/>
            <w:noWrap/>
            <w:vAlign w:val="center"/>
            <w:hideMark/>
          </w:tcPr>
          <w:p w14:paraId="2A693131" w14:textId="6109A93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3</w:t>
            </w:r>
          </w:p>
        </w:tc>
        <w:tc>
          <w:tcPr>
            <w:tcW w:w="1080" w:type="dxa"/>
            <w:tcBorders>
              <w:top w:val="nil"/>
              <w:left w:val="nil"/>
              <w:bottom w:val="single" w:sz="4" w:space="0" w:color="auto"/>
              <w:right w:val="nil"/>
            </w:tcBorders>
            <w:shd w:val="clear" w:color="auto" w:fill="auto"/>
            <w:noWrap/>
            <w:vAlign w:val="center"/>
            <w:hideMark/>
          </w:tcPr>
          <w:p w14:paraId="2090DD1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正周二</w:t>
            </w:r>
          </w:p>
        </w:tc>
        <w:tc>
          <w:tcPr>
            <w:tcW w:w="1296" w:type="dxa"/>
            <w:tcBorders>
              <w:top w:val="nil"/>
              <w:left w:val="nil"/>
              <w:bottom w:val="single" w:sz="4" w:space="0" w:color="auto"/>
              <w:right w:val="nil"/>
            </w:tcBorders>
            <w:shd w:val="clear" w:color="auto" w:fill="auto"/>
            <w:vAlign w:val="center"/>
            <w:hideMark/>
          </w:tcPr>
          <w:p w14:paraId="707DE52F" w14:textId="1A2C5A6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-0.002687</w:t>
            </w:r>
            <w:r w:rsidRPr="008E3BCC">
              <w:rPr>
                <w:rFonts w:ascii="宋体" w:eastAsia="宋体" w:hAnsi="宋体" w:hint="eastAsia"/>
                <w:color w:val="000000"/>
                <w:szCs w:val="21"/>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0.004418</w:t>
            </w:r>
            <w:r w:rsidRPr="00E92CC5">
              <w:rPr>
                <w:rFonts w:ascii="宋体" w:eastAsia="宋体" w:hAnsi="宋体" w:cs="宋体" w:hint="eastAsia"/>
                <w:color w:val="000000"/>
                <w:kern w:val="0"/>
                <w:szCs w:val="21"/>
              </w:rPr>
              <w:br/>
              <w:t>***</w:t>
            </w:r>
          </w:p>
        </w:tc>
        <w:tc>
          <w:tcPr>
            <w:tcW w:w="1276" w:type="dxa"/>
            <w:tcBorders>
              <w:top w:val="nil"/>
              <w:left w:val="nil"/>
              <w:bottom w:val="single" w:sz="4" w:space="0" w:color="auto"/>
              <w:right w:val="nil"/>
            </w:tcBorders>
            <w:shd w:val="clear" w:color="auto" w:fill="auto"/>
            <w:vAlign w:val="center"/>
            <w:hideMark/>
          </w:tcPr>
          <w:p w14:paraId="0B91FA0B" w14:textId="13219D67"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-0.001651</w:t>
            </w:r>
            <w:r w:rsidRPr="0086378B">
              <w:rPr>
                <w:rFonts w:ascii="宋体" w:eastAsia="宋体" w:hAnsi="宋体" w:hint="eastAsia"/>
                <w:color w:val="000000"/>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——月历效应、假日效应</w:t>
      </w:r>
    </w:p>
    <w:tbl>
      <w:tblPr>
        <w:tblW w:w="11031" w:type="dxa"/>
        <w:jc w:val="center"/>
        <w:tblLook w:val="04A0" w:firstRow="1" w:lastRow="0" w:firstColumn="1" w:lastColumn="0" w:noHBand="0" w:noVBand="1"/>
      </w:tblPr>
      <w:tblGrid>
        <w:gridCol w:w="1277"/>
        <w:gridCol w:w="1176"/>
        <w:gridCol w:w="1418"/>
        <w:gridCol w:w="1233"/>
        <w:gridCol w:w="1176"/>
        <w:gridCol w:w="1134"/>
        <w:gridCol w:w="1276"/>
        <w:gridCol w:w="1056"/>
        <w:gridCol w:w="1285"/>
      </w:tblGrid>
      <w:tr w:rsidR="00416164" w:rsidRPr="00E92CC5" w14:paraId="7D10651E" w14:textId="77777777" w:rsidTr="00C62185">
        <w:trPr>
          <w:trHeight w:val="285"/>
          <w:jc w:val="center"/>
        </w:trPr>
        <w:tc>
          <w:tcPr>
            <w:tcW w:w="1277" w:type="dxa"/>
            <w:tcBorders>
              <w:top w:val="single" w:sz="4" w:space="0" w:color="auto"/>
              <w:left w:val="nil"/>
              <w:bottom w:val="single" w:sz="4" w:space="0" w:color="auto"/>
              <w:right w:val="nil"/>
            </w:tcBorders>
            <w:shd w:val="clear" w:color="auto" w:fill="auto"/>
            <w:noWrap/>
            <w:vAlign w:val="center"/>
            <w:hideMark/>
          </w:tcPr>
          <w:p w14:paraId="62C1F84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176" w:type="dxa"/>
            <w:tcBorders>
              <w:top w:val="single" w:sz="4" w:space="0" w:color="auto"/>
              <w:left w:val="nil"/>
              <w:bottom w:val="single" w:sz="4" w:space="0" w:color="auto"/>
              <w:right w:val="nil"/>
            </w:tcBorders>
            <w:shd w:val="clear" w:color="auto" w:fill="auto"/>
            <w:noWrap/>
            <w:vAlign w:val="center"/>
            <w:hideMark/>
          </w:tcPr>
          <w:p w14:paraId="465FAF96"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月历效应</w:t>
            </w:r>
          </w:p>
        </w:tc>
        <w:tc>
          <w:tcPr>
            <w:tcW w:w="1418" w:type="dxa"/>
            <w:tcBorders>
              <w:top w:val="single" w:sz="4" w:space="0" w:color="auto"/>
              <w:left w:val="nil"/>
              <w:bottom w:val="single" w:sz="4" w:space="0" w:color="auto"/>
              <w:right w:val="nil"/>
            </w:tcBorders>
            <w:shd w:val="clear" w:color="auto" w:fill="auto"/>
            <w:noWrap/>
            <w:vAlign w:val="center"/>
            <w:hideMark/>
          </w:tcPr>
          <w:p w14:paraId="5FDFF2D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233" w:type="dxa"/>
            <w:tcBorders>
              <w:top w:val="single" w:sz="4" w:space="0" w:color="auto"/>
              <w:left w:val="nil"/>
              <w:bottom w:val="single" w:sz="4" w:space="0" w:color="auto"/>
              <w:right w:val="nil"/>
            </w:tcBorders>
            <w:shd w:val="clear" w:color="auto" w:fill="auto"/>
            <w:noWrap/>
            <w:vAlign w:val="center"/>
            <w:hideMark/>
          </w:tcPr>
          <w:p w14:paraId="2D7525A3"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176" w:type="dxa"/>
            <w:tcBorders>
              <w:top w:val="single" w:sz="4" w:space="0" w:color="auto"/>
              <w:left w:val="nil"/>
              <w:bottom w:val="single" w:sz="4" w:space="0" w:color="auto"/>
              <w:right w:val="nil"/>
            </w:tcBorders>
            <w:shd w:val="clear" w:color="auto" w:fill="auto"/>
            <w:noWrap/>
            <w:vAlign w:val="center"/>
            <w:hideMark/>
          </w:tcPr>
          <w:p w14:paraId="0231A2C7"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c>
          <w:tcPr>
            <w:tcW w:w="1134" w:type="dxa"/>
            <w:tcBorders>
              <w:top w:val="single" w:sz="4" w:space="0" w:color="auto"/>
              <w:left w:val="nil"/>
              <w:bottom w:val="single" w:sz="4" w:space="0" w:color="auto"/>
              <w:right w:val="nil"/>
            </w:tcBorders>
            <w:shd w:val="clear" w:color="auto" w:fill="auto"/>
            <w:noWrap/>
            <w:vAlign w:val="center"/>
            <w:hideMark/>
          </w:tcPr>
          <w:p w14:paraId="453E677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假日效应</w:t>
            </w:r>
          </w:p>
        </w:tc>
        <w:tc>
          <w:tcPr>
            <w:tcW w:w="1276" w:type="dxa"/>
            <w:tcBorders>
              <w:top w:val="single" w:sz="4" w:space="0" w:color="auto"/>
              <w:left w:val="nil"/>
              <w:bottom w:val="single" w:sz="4" w:space="0" w:color="auto"/>
              <w:right w:val="nil"/>
            </w:tcBorders>
            <w:shd w:val="clear" w:color="auto" w:fill="auto"/>
            <w:noWrap/>
            <w:vAlign w:val="center"/>
            <w:hideMark/>
          </w:tcPr>
          <w:p w14:paraId="0614ECE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56" w:type="dxa"/>
            <w:tcBorders>
              <w:top w:val="single" w:sz="4" w:space="0" w:color="auto"/>
              <w:left w:val="nil"/>
              <w:bottom w:val="single" w:sz="4" w:space="0" w:color="auto"/>
              <w:right w:val="nil"/>
            </w:tcBorders>
            <w:shd w:val="clear" w:color="auto" w:fill="auto"/>
            <w:noWrap/>
            <w:vAlign w:val="center"/>
            <w:hideMark/>
          </w:tcPr>
          <w:p w14:paraId="6BD1E14A"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85" w:type="dxa"/>
            <w:tcBorders>
              <w:top w:val="single" w:sz="4" w:space="0" w:color="auto"/>
              <w:left w:val="nil"/>
              <w:bottom w:val="single" w:sz="4" w:space="0" w:color="auto"/>
              <w:right w:val="nil"/>
            </w:tcBorders>
            <w:shd w:val="clear" w:color="auto" w:fill="auto"/>
            <w:noWrap/>
            <w:vAlign w:val="center"/>
            <w:hideMark/>
          </w:tcPr>
          <w:p w14:paraId="6DBCBFA1"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765266" w:rsidRPr="00E92CC5" w14:paraId="093B402B" w14:textId="77777777" w:rsidTr="00C62185">
        <w:trPr>
          <w:trHeight w:hRule="exact" w:val="567"/>
          <w:jc w:val="center"/>
        </w:trPr>
        <w:tc>
          <w:tcPr>
            <w:tcW w:w="1277" w:type="dxa"/>
            <w:tcBorders>
              <w:top w:val="single" w:sz="4" w:space="0" w:color="auto"/>
              <w:left w:val="nil"/>
              <w:bottom w:val="nil"/>
              <w:right w:val="nil"/>
            </w:tcBorders>
            <w:shd w:val="clear" w:color="auto" w:fill="auto"/>
            <w:noWrap/>
            <w:vAlign w:val="center"/>
            <w:hideMark/>
          </w:tcPr>
          <w:p w14:paraId="790423CF" w14:textId="24CAC5C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1</w:t>
            </w:r>
          </w:p>
        </w:tc>
        <w:tc>
          <w:tcPr>
            <w:tcW w:w="1176" w:type="dxa"/>
            <w:tcBorders>
              <w:top w:val="single" w:sz="4" w:space="0" w:color="auto"/>
              <w:left w:val="nil"/>
              <w:bottom w:val="nil"/>
              <w:right w:val="nil"/>
            </w:tcBorders>
            <w:shd w:val="clear" w:color="auto" w:fill="auto"/>
            <w:noWrap/>
            <w:vAlign w:val="center"/>
            <w:hideMark/>
          </w:tcPr>
          <w:p w14:paraId="2EDEBC67"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正一月</w:t>
            </w:r>
          </w:p>
        </w:tc>
        <w:tc>
          <w:tcPr>
            <w:tcW w:w="1418" w:type="dxa"/>
            <w:tcBorders>
              <w:top w:val="nil"/>
              <w:left w:val="nil"/>
              <w:bottom w:val="nil"/>
              <w:right w:val="nil"/>
            </w:tcBorders>
            <w:shd w:val="clear" w:color="auto" w:fill="auto"/>
            <w:vAlign w:val="center"/>
            <w:hideMark/>
          </w:tcPr>
          <w:p w14:paraId="31EE8D2A" w14:textId="2E3CA1E0"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-0.005050</w:t>
            </w:r>
            <w:r w:rsidRPr="00D71F1A">
              <w:rPr>
                <w:rFonts w:ascii="宋体" w:eastAsia="宋体" w:hAnsi="宋体" w:hint="eastAsia"/>
                <w:color w:val="000000"/>
                <w:szCs w:val="21"/>
              </w:rPr>
              <w:br/>
              <w:t>***</w:t>
            </w:r>
          </w:p>
        </w:tc>
        <w:tc>
          <w:tcPr>
            <w:tcW w:w="1233" w:type="dxa"/>
            <w:tcBorders>
              <w:top w:val="single" w:sz="4" w:space="0" w:color="auto"/>
              <w:left w:val="nil"/>
              <w:bottom w:val="nil"/>
              <w:right w:val="nil"/>
            </w:tcBorders>
            <w:shd w:val="clear" w:color="auto" w:fill="auto"/>
            <w:vAlign w:val="center"/>
            <w:hideMark/>
          </w:tcPr>
          <w:p w14:paraId="27AA649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0.005791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EE2CB80" w14:textId="6E53DACA" w:rsidR="00765266" w:rsidRPr="00765266" w:rsidRDefault="00765266" w:rsidP="00765266">
            <w:pPr>
              <w:widowControl/>
              <w:jc w:val="center"/>
              <w:rPr>
                <w:rFonts w:ascii="宋体" w:eastAsia="宋体" w:hAnsi="宋体" w:cs="宋体"/>
                <w:kern w:val="0"/>
                <w:szCs w:val="21"/>
              </w:rPr>
            </w:pPr>
            <w:r w:rsidRPr="00765266">
              <w:rPr>
                <w:rFonts w:ascii="宋体" w:eastAsia="宋体" w:hAnsi="宋体" w:hint="eastAsia"/>
                <w:szCs w:val="21"/>
              </w:rPr>
              <w:t>0.002562</w:t>
            </w:r>
            <w:r w:rsidRPr="00765266">
              <w:rPr>
                <w:rFonts w:ascii="宋体" w:eastAsia="宋体" w:hAnsi="宋体" w:hint="eastAsia"/>
                <w:szCs w:val="21"/>
              </w:rPr>
              <w:br/>
              <w:t>***</w:t>
            </w:r>
          </w:p>
        </w:tc>
        <w:tc>
          <w:tcPr>
            <w:tcW w:w="1134" w:type="dxa"/>
            <w:tcBorders>
              <w:top w:val="single" w:sz="4" w:space="0" w:color="auto"/>
              <w:left w:val="nil"/>
              <w:bottom w:val="nil"/>
              <w:right w:val="nil"/>
            </w:tcBorders>
            <w:shd w:val="clear" w:color="auto" w:fill="auto"/>
            <w:noWrap/>
            <w:vAlign w:val="center"/>
            <w:hideMark/>
          </w:tcPr>
          <w:p w14:paraId="6DA5DFFD"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w:t>
            </w:r>
          </w:p>
        </w:tc>
        <w:tc>
          <w:tcPr>
            <w:tcW w:w="1276" w:type="dxa"/>
            <w:tcBorders>
              <w:top w:val="single" w:sz="4" w:space="0" w:color="auto"/>
              <w:left w:val="nil"/>
              <w:bottom w:val="nil"/>
              <w:right w:val="nil"/>
            </w:tcBorders>
            <w:shd w:val="clear" w:color="auto" w:fill="auto"/>
            <w:vAlign w:val="center"/>
            <w:hideMark/>
          </w:tcPr>
          <w:p w14:paraId="0F8EDBBB"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single" w:sz="4" w:space="0" w:color="auto"/>
              <w:left w:val="nil"/>
              <w:bottom w:val="nil"/>
              <w:right w:val="nil"/>
            </w:tcBorders>
            <w:shd w:val="clear" w:color="auto" w:fill="auto"/>
            <w:vAlign w:val="center"/>
            <w:hideMark/>
          </w:tcPr>
          <w:p w14:paraId="76906148"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1BF10AE2"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0AB50650"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411970B6" w14:textId="12113A68"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0805CDB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正五月</w:t>
            </w:r>
          </w:p>
        </w:tc>
        <w:tc>
          <w:tcPr>
            <w:tcW w:w="1418" w:type="dxa"/>
            <w:tcBorders>
              <w:top w:val="nil"/>
              <w:left w:val="nil"/>
              <w:bottom w:val="nil"/>
              <w:right w:val="nil"/>
            </w:tcBorders>
            <w:shd w:val="clear" w:color="auto" w:fill="auto"/>
            <w:vAlign w:val="center"/>
            <w:hideMark/>
          </w:tcPr>
          <w:p w14:paraId="61B17F8E" w14:textId="671ADBD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-0.005757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39356F3" w14:textId="77777777" w:rsidR="00765266" w:rsidRPr="00AE06E8" w:rsidRDefault="00765266" w:rsidP="00765266">
            <w:pPr>
              <w:widowControl/>
              <w:jc w:val="center"/>
              <w:rPr>
                <w:rFonts w:ascii="宋体" w:eastAsia="宋体" w:hAnsi="宋体"/>
                <w:color w:val="000000"/>
                <w:sz w:val="20"/>
                <w:szCs w:val="18"/>
              </w:rPr>
            </w:pPr>
            <w:r w:rsidRPr="00AE06E8">
              <w:rPr>
                <w:rFonts w:ascii="宋体" w:eastAsia="宋体" w:hAnsi="宋体" w:hint="eastAsia"/>
                <w:color w:val="000000"/>
                <w:sz w:val="20"/>
                <w:szCs w:val="18"/>
              </w:rPr>
              <w:t>0.007713</w:t>
            </w:r>
            <w:r w:rsidRPr="00AE06E8">
              <w:rPr>
                <w:rFonts w:ascii="宋体" w:eastAsia="宋体" w:hAnsi="宋体" w:hint="eastAsia"/>
                <w:color w:val="000000"/>
                <w:sz w:val="20"/>
                <w:szCs w:val="18"/>
              </w:rPr>
              <w:br/>
              <w:t>***</w:t>
            </w:r>
          </w:p>
          <w:p w14:paraId="71774C84" w14:textId="1BFA0D2B" w:rsidR="00765266" w:rsidRPr="00E92CC5" w:rsidRDefault="00765266" w:rsidP="00765266">
            <w:pPr>
              <w:widowControl/>
              <w:jc w:val="center"/>
              <w:rPr>
                <w:rFonts w:ascii="宋体" w:eastAsia="宋体" w:hAnsi="宋体" w:cs="宋体"/>
                <w:color w:val="000000"/>
                <w:kern w:val="0"/>
                <w:szCs w:val="21"/>
              </w:rPr>
            </w:pPr>
          </w:p>
        </w:tc>
        <w:tc>
          <w:tcPr>
            <w:tcW w:w="1176" w:type="dxa"/>
            <w:tcBorders>
              <w:top w:val="nil"/>
              <w:left w:val="nil"/>
              <w:bottom w:val="nil"/>
              <w:right w:val="nil"/>
            </w:tcBorders>
            <w:shd w:val="clear" w:color="auto" w:fill="auto"/>
            <w:vAlign w:val="center"/>
            <w:hideMark/>
          </w:tcPr>
          <w:p w14:paraId="08BF4D4E" w14:textId="119161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0.015665</w:t>
            </w:r>
          </w:p>
        </w:tc>
        <w:tc>
          <w:tcPr>
            <w:tcW w:w="1134" w:type="dxa"/>
            <w:tcBorders>
              <w:top w:val="nil"/>
              <w:left w:val="nil"/>
              <w:bottom w:val="nil"/>
              <w:right w:val="nil"/>
            </w:tcBorders>
            <w:shd w:val="clear" w:color="auto" w:fill="auto"/>
            <w:noWrap/>
            <w:vAlign w:val="center"/>
            <w:hideMark/>
          </w:tcPr>
          <w:p w14:paraId="2E056BCC"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470FA898"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-0.004137</w:t>
            </w:r>
            <w:r w:rsidRPr="00765266">
              <w:rPr>
                <w:rFonts w:ascii="宋体" w:eastAsia="宋体" w:hAnsi="宋体" w:hint="eastAsia"/>
                <w:color w:val="000000"/>
                <w:szCs w:val="21"/>
              </w:rPr>
              <w:br/>
              <w:t>***</w:t>
            </w:r>
          </w:p>
          <w:p w14:paraId="21054F5F" w14:textId="57D4CFD9"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63C2B65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0.002194</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3FD93437" w14:textId="44A0E28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-0.001129</w:t>
            </w:r>
            <w:r w:rsidRPr="00765266">
              <w:rPr>
                <w:rFonts w:ascii="宋体" w:eastAsia="宋体" w:hAnsi="宋体" w:hint="eastAsia"/>
                <w:color w:val="000000"/>
                <w:szCs w:val="21"/>
              </w:rPr>
              <w:br/>
              <w:t>***</w:t>
            </w:r>
          </w:p>
        </w:tc>
      </w:tr>
      <w:tr w:rsidR="00765266" w:rsidRPr="00E92CC5" w14:paraId="1EAB96D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5DBFE6DB" w14:textId="39FA7196"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608377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24441317" w14:textId="0C710CFF"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0.003307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29D2AC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-0.001241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27FE552" w14:textId="650DA1A6"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-0.000235</w:t>
            </w:r>
          </w:p>
        </w:tc>
        <w:tc>
          <w:tcPr>
            <w:tcW w:w="1134" w:type="dxa"/>
            <w:tcBorders>
              <w:top w:val="nil"/>
              <w:left w:val="nil"/>
              <w:bottom w:val="nil"/>
              <w:right w:val="nil"/>
            </w:tcBorders>
            <w:shd w:val="clear" w:color="auto" w:fill="auto"/>
            <w:noWrap/>
            <w:vAlign w:val="center"/>
            <w:hideMark/>
          </w:tcPr>
          <w:p w14:paraId="3F8D556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2C1134DE"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2B25FF31"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6BBBCCC5"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4295898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37C62732" w14:textId="57E45E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7DA7D62"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27BC1459" w14:textId="77777777" w:rsidR="00765266" w:rsidRPr="008A3E9E" w:rsidRDefault="00765266" w:rsidP="00765266">
            <w:pPr>
              <w:widowControl/>
              <w:jc w:val="center"/>
              <w:rPr>
                <w:rFonts w:ascii="宋体" w:eastAsia="宋体" w:hAnsi="宋体"/>
                <w:color w:val="000000"/>
                <w:szCs w:val="21"/>
              </w:rPr>
            </w:pPr>
            <w:r w:rsidRPr="008A3E9E">
              <w:rPr>
                <w:rFonts w:ascii="宋体" w:eastAsia="宋体" w:hAnsi="宋体" w:hint="eastAsia"/>
                <w:color w:val="000000"/>
                <w:szCs w:val="21"/>
              </w:rPr>
              <w:t>-0.001602</w:t>
            </w:r>
            <w:r w:rsidRPr="008A3E9E">
              <w:rPr>
                <w:rFonts w:ascii="宋体" w:eastAsia="宋体" w:hAnsi="宋体" w:hint="eastAsia"/>
                <w:color w:val="000000"/>
                <w:szCs w:val="21"/>
              </w:rPr>
              <w:br/>
              <w:t>***</w:t>
            </w:r>
          </w:p>
          <w:p w14:paraId="2408F8BD" w14:textId="34F0E538" w:rsidR="00765266" w:rsidRPr="00D71F1A" w:rsidRDefault="00765266" w:rsidP="00765266">
            <w:pPr>
              <w:widowControl/>
              <w:jc w:val="center"/>
              <w:rPr>
                <w:rFonts w:ascii="宋体" w:eastAsia="宋体" w:hAnsi="宋体" w:cs="宋体"/>
                <w:color w:val="000000"/>
                <w:kern w:val="0"/>
                <w:szCs w:val="21"/>
              </w:rPr>
            </w:pPr>
          </w:p>
        </w:tc>
        <w:tc>
          <w:tcPr>
            <w:tcW w:w="1233" w:type="dxa"/>
            <w:tcBorders>
              <w:top w:val="nil"/>
              <w:left w:val="nil"/>
              <w:bottom w:val="nil"/>
              <w:right w:val="nil"/>
            </w:tcBorders>
            <w:shd w:val="clear" w:color="auto" w:fill="auto"/>
            <w:vAlign w:val="center"/>
            <w:hideMark/>
          </w:tcPr>
          <w:p w14:paraId="073B1FD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0.008932</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0242136B" w14:textId="1B20D384"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-0.006718</w:t>
            </w:r>
          </w:p>
        </w:tc>
        <w:tc>
          <w:tcPr>
            <w:tcW w:w="1134" w:type="dxa"/>
            <w:tcBorders>
              <w:top w:val="nil"/>
              <w:left w:val="nil"/>
              <w:bottom w:val="nil"/>
              <w:right w:val="nil"/>
            </w:tcBorders>
            <w:shd w:val="clear" w:color="auto" w:fill="auto"/>
            <w:noWrap/>
            <w:vAlign w:val="center"/>
            <w:hideMark/>
          </w:tcPr>
          <w:p w14:paraId="3BEF90D7"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70945EF2"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070B6EC4"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5CA50AA0"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340B3A9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DC994A5" w14:textId="6EFB31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39587C45"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2A44680" w14:textId="680C3B1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-0.003183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4331516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0.007371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560C9909" w14:textId="4119E0B5"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-0.105563</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3C57C616"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0E570F5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3CF42BD0"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7E418EAB"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1D667384"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2DD3B874" w14:textId="3597F05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E580ED0"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nil"/>
              <w:right w:val="nil"/>
            </w:tcBorders>
            <w:shd w:val="clear" w:color="auto" w:fill="auto"/>
            <w:vAlign w:val="center"/>
            <w:hideMark/>
          </w:tcPr>
          <w:p w14:paraId="033CFEC8" w14:textId="38440B3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-0.002674</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5607017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0.003601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65D11983" w14:textId="3D5324C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szCs w:val="21"/>
              </w:rPr>
              <w:t>-0.015438</w:t>
            </w:r>
            <w:r w:rsidRPr="00765266">
              <w:rPr>
                <w:rFonts w:ascii="宋体" w:eastAsia="宋体" w:hAnsi="宋体" w:hint="eastAsia"/>
                <w:szCs w:val="21"/>
              </w:rPr>
              <w:br/>
              <w:t>***</w:t>
            </w:r>
          </w:p>
        </w:tc>
        <w:tc>
          <w:tcPr>
            <w:tcW w:w="1134" w:type="dxa"/>
            <w:tcBorders>
              <w:top w:val="nil"/>
              <w:left w:val="nil"/>
              <w:bottom w:val="nil"/>
              <w:right w:val="nil"/>
            </w:tcBorders>
            <w:shd w:val="clear" w:color="auto" w:fill="auto"/>
            <w:noWrap/>
            <w:vAlign w:val="center"/>
            <w:hideMark/>
          </w:tcPr>
          <w:p w14:paraId="21CCA6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30F3821"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39E91D89"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3F1ED88D"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294546BB"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E6A3DB4" w14:textId="20EB11B2"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CCE2FC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D0BDC35" w14:textId="256F34B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-0.004206</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B0B9AD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0.005075</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37403626" w14:textId="38B847AE"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0.002261</w:t>
            </w:r>
          </w:p>
        </w:tc>
        <w:tc>
          <w:tcPr>
            <w:tcW w:w="1134" w:type="dxa"/>
            <w:tcBorders>
              <w:top w:val="nil"/>
              <w:left w:val="nil"/>
              <w:bottom w:val="nil"/>
              <w:right w:val="nil"/>
            </w:tcBorders>
            <w:shd w:val="clear" w:color="auto" w:fill="auto"/>
            <w:noWrap/>
            <w:vAlign w:val="center"/>
            <w:hideMark/>
          </w:tcPr>
          <w:p w14:paraId="356A1603"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1DB527F"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5F8B113"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00ADDEB4"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78B451F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61B73545" w14:textId="75128AF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4C838C6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6DADC545" w14:textId="3646345C"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-0.011343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3E75EC51"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0.023819</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CF7A9D4" w14:textId="4CCC444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0.072164</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543B1204"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1EC3993A"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-0.002567</w:t>
            </w:r>
            <w:r w:rsidRPr="00765266">
              <w:rPr>
                <w:rFonts w:ascii="宋体" w:eastAsia="宋体" w:hAnsi="宋体" w:hint="eastAsia"/>
                <w:color w:val="000000"/>
                <w:szCs w:val="21"/>
              </w:rPr>
              <w:br/>
              <w:t>***</w:t>
            </w:r>
          </w:p>
          <w:p w14:paraId="792F01C9" w14:textId="066CB588"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B6470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0.002100</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772F9D59" w14:textId="279582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0.000139</w:t>
            </w:r>
            <w:r w:rsidRPr="00765266">
              <w:rPr>
                <w:rFonts w:ascii="宋体" w:eastAsia="宋体" w:hAnsi="宋体" w:hint="eastAsia"/>
                <w:color w:val="000000"/>
                <w:szCs w:val="21"/>
              </w:rPr>
              <w:br/>
              <w:t>***</w:t>
            </w:r>
          </w:p>
        </w:tc>
      </w:tr>
      <w:tr w:rsidR="00765266" w:rsidRPr="00E92CC5" w14:paraId="666C15AA" w14:textId="77777777" w:rsidTr="00C62185">
        <w:trPr>
          <w:trHeight w:hRule="exact" w:val="567"/>
          <w:jc w:val="center"/>
        </w:trPr>
        <w:tc>
          <w:tcPr>
            <w:tcW w:w="1277" w:type="dxa"/>
            <w:tcBorders>
              <w:top w:val="nil"/>
              <w:left w:val="nil"/>
              <w:bottom w:val="single" w:sz="4" w:space="0" w:color="auto"/>
              <w:right w:val="nil"/>
            </w:tcBorders>
            <w:shd w:val="clear" w:color="auto" w:fill="auto"/>
            <w:noWrap/>
            <w:vAlign w:val="center"/>
            <w:hideMark/>
          </w:tcPr>
          <w:p w14:paraId="38B99400" w14:textId="636A1380"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3</w:t>
            </w:r>
          </w:p>
        </w:tc>
        <w:tc>
          <w:tcPr>
            <w:tcW w:w="1176" w:type="dxa"/>
            <w:tcBorders>
              <w:top w:val="nil"/>
              <w:left w:val="nil"/>
              <w:bottom w:val="single" w:sz="4" w:space="0" w:color="auto"/>
              <w:right w:val="nil"/>
            </w:tcBorders>
            <w:shd w:val="clear" w:color="auto" w:fill="auto"/>
            <w:noWrap/>
            <w:vAlign w:val="center"/>
            <w:hideMark/>
          </w:tcPr>
          <w:p w14:paraId="426F960C"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single" w:sz="4" w:space="0" w:color="auto"/>
              <w:right w:val="nil"/>
            </w:tcBorders>
            <w:shd w:val="clear" w:color="auto" w:fill="auto"/>
            <w:vAlign w:val="center"/>
            <w:hideMark/>
          </w:tcPr>
          <w:p w14:paraId="4DDC203A" w14:textId="3E538C22"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-0.011616</w:t>
            </w:r>
            <w:r w:rsidRPr="00D71F1A">
              <w:rPr>
                <w:rFonts w:ascii="宋体" w:eastAsia="宋体" w:hAnsi="宋体" w:hint="eastAsia"/>
                <w:color w:val="000000"/>
                <w:szCs w:val="21"/>
              </w:rPr>
              <w:br/>
              <w:t>***</w:t>
            </w:r>
          </w:p>
        </w:tc>
        <w:tc>
          <w:tcPr>
            <w:tcW w:w="1233" w:type="dxa"/>
            <w:tcBorders>
              <w:top w:val="nil"/>
              <w:left w:val="nil"/>
              <w:bottom w:val="single" w:sz="4" w:space="0" w:color="auto"/>
              <w:right w:val="nil"/>
            </w:tcBorders>
            <w:shd w:val="clear" w:color="auto" w:fill="auto"/>
            <w:vAlign w:val="center"/>
            <w:hideMark/>
          </w:tcPr>
          <w:p w14:paraId="10CD310F"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0.009968</w:t>
            </w:r>
            <w:r w:rsidRPr="00E92CC5">
              <w:rPr>
                <w:rFonts w:ascii="宋体" w:eastAsia="宋体" w:hAnsi="宋体" w:cs="宋体" w:hint="eastAsia"/>
                <w:color w:val="000000"/>
                <w:kern w:val="0"/>
                <w:szCs w:val="21"/>
              </w:rPr>
              <w:br/>
              <w:t>***</w:t>
            </w:r>
          </w:p>
        </w:tc>
        <w:tc>
          <w:tcPr>
            <w:tcW w:w="1176" w:type="dxa"/>
            <w:tcBorders>
              <w:top w:val="nil"/>
              <w:left w:val="nil"/>
              <w:bottom w:val="single" w:sz="4" w:space="0" w:color="auto"/>
              <w:right w:val="nil"/>
            </w:tcBorders>
            <w:shd w:val="clear" w:color="auto" w:fill="auto"/>
            <w:vAlign w:val="center"/>
            <w:hideMark/>
          </w:tcPr>
          <w:p w14:paraId="2ADFB3B7" w14:textId="4EACDF7C"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0.060204</w:t>
            </w:r>
            <w:r w:rsidRPr="00765266">
              <w:rPr>
                <w:rFonts w:ascii="宋体" w:eastAsia="宋体" w:hAnsi="宋体" w:hint="eastAsia"/>
                <w:color w:val="000000"/>
                <w:szCs w:val="21"/>
              </w:rPr>
              <w:br/>
              <w:t>***</w:t>
            </w:r>
          </w:p>
        </w:tc>
        <w:tc>
          <w:tcPr>
            <w:tcW w:w="1134" w:type="dxa"/>
            <w:tcBorders>
              <w:top w:val="nil"/>
              <w:left w:val="nil"/>
              <w:bottom w:val="single" w:sz="4" w:space="0" w:color="auto"/>
              <w:right w:val="nil"/>
            </w:tcBorders>
            <w:shd w:val="clear" w:color="auto" w:fill="auto"/>
            <w:noWrap/>
            <w:vAlign w:val="center"/>
            <w:hideMark/>
          </w:tcPr>
          <w:p w14:paraId="62FE2DD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single" w:sz="4" w:space="0" w:color="auto"/>
              <w:right w:val="nil"/>
            </w:tcBorders>
            <w:shd w:val="clear" w:color="auto" w:fill="auto"/>
            <w:vAlign w:val="center"/>
            <w:hideMark/>
          </w:tcPr>
          <w:p w14:paraId="4C31CAC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single" w:sz="4" w:space="0" w:color="auto"/>
              <w:right w:val="nil"/>
            </w:tcBorders>
            <w:shd w:val="clear" w:color="auto" w:fill="auto"/>
            <w:vAlign w:val="center"/>
            <w:hideMark/>
          </w:tcPr>
          <w:p w14:paraId="2D3D122E"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single" w:sz="4" w:space="0" w:color="auto"/>
              <w:right w:val="nil"/>
            </w:tcBorders>
            <w:shd w:val="clear" w:color="auto" w:fill="auto"/>
            <w:vAlign w:val="center"/>
            <w:hideMark/>
          </w:tcPr>
          <w:p w14:paraId="1AEF390B" w14:textId="77777777" w:rsidR="00765266" w:rsidRPr="00765266" w:rsidRDefault="00765266" w:rsidP="00765266">
            <w:pPr>
              <w:widowControl/>
              <w:jc w:val="center"/>
              <w:rPr>
                <w:rFonts w:ascii="宋体" w:eastAsia="宋体" w:hAnsi="宋体" w:cs="Times New Roman"/>
                <w:kern w:val="0"/>
                <w:szCs w:val="21"/>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7" w:name="_Toc3381507"/>
      <w:r>
        <w:rPr>
          <w:rFonts w:hint="eastAsia"/>
        </w:rPr>
        <w:lastRenderedPageBreak/>
        <w:t>实证分析</w:t>
      </w:r>
      <w:bookmarkEnd w:id="47"/>
    </w:p>
    <w:p w14:paraId="6DB7EF73" w14:textId="6CE55A8C" w:rsidR="0021249A" w:rsidRPr="00184C59" w:rsidRDefault="00C06540" w:rsidP="00A72B1D">
      <w:pPr>
        <w:pStyle w:val="ac"/>
        <w:ind w:firstLine="420"/>
        <w:rPr>
          <w:kern w:val="0"/>
          <w:szCs w:val="24"/>
        </w:rPr>
      </w:pPr>
      <w:r>
        <w:rPr>
          <w:rFonts w:hint="eastAsia"/>
        </w:rPr>
        <w:t>风险因素</w:t>
      </w:r>
      <w:r w:rsidR="00E715FA">
        <w:rPr>
          <w:rFonts w:hint="eastAsia"/>
        </w:rPr>
        <w:t>与日历效应</w:t>
      </w:r>
      <w:proofErr w:type="gramStart"/>
      <w:r w:rsidR="00E715FA">
        <w:rPr>
          <w:rFonts w:hint="eastAsia"/>
        </w:rPr>
        <w:t>哑</w:t>
      </w:r>
      <w:proofErr w:type="gramEnd"/>
      <w:r w:rsidR="00E715FA">
        <w:rPr>
          <w:rFonts w:hint="eastAsia"/>
        </w:rPr>
        <w:t>变量</w:t>
      </w:r>
      <w:r w:rsidR="00404E86">
        <w:rPr>
          <w:rFonts w:hint="eastAsia"/>
        </w:rPr>
        <w:t>交互项系数</w:t>
      </w:r>
      <w:r w:rsidR="005C7919">
        <w:rPr>
          <w:rFonts w:hint="eastAsia"/>
        </w:rPr>
        <w:t>基本与理论分析后的假设结果相同</w:t>
      </w:r>
      <w:r w:rsidR="001533D5">
        <w:rPr>
          <w:rFonts w:hint="eastAsia"/>
        </w:rPr>
        <w:t>。</w:t>
      </w:r>
      <w:r w:rsidR="00802D26">
        <w:rPr>
          <w:rFonts w:hint="eastAsia"/>
        </w:rPr>
        <w:t>所进行的日历效应风险因素</w:t>
      </w:r>
      <w:proofErr w:type="gramStart"/>
      <w:r w:rsidR="00802D26">
        <w:rPr>
          <w:rFonts w:hint="eastAsia"/>
        </w:rPr>
        <w:t>检验</w:t>
      </w:r>
      <w:r w:rsidR="00297FCB">
        <w:rPr>
          <w:rFonts w:hint="eastAsia"/>
        </w:rPr>
        <w:t>共</w:t>
      </w:r>
      <w:proofErr w:type="gramEnd"/>
      <w:r w:rsidR="00547729">
        <w:rPr>
          <w:rFonts w:hint="eastAsia"/>
        </w:rPr>
        <w:t>1</w:t>
      </w:r>
      <w:r w:rsidR="00547729">
        <w:t>8</w:t>
      </w:r>
      <w:r w:rsidR="00547729">
        <w:rPr>
          <w:rFonts w:hint="eastAsia"/>
        </w:rPr>
        <w:t>个</w:t>
      </w:r>
      <w:r w:rsidR="006C7F14">
        <w:rPr>
          <w:rFonts w:hint="eastAsia"/>
        </w:rPr>
        <w:t>，结果均显著</w:t>
      </w:r>
      <w:r w:rsidR="00E9238F">
        <w:rPr>
          <w:rFonts w:hint="eastAsia"/>
        </w:rPr>
        <w:t>（显著性水平为0</w:t>
      </w:r>
      <w:r w:rsidR="00E9238F">
        <w:t>.01</w:t>
      </w:r>
      <w:r w:rsidR="00E9238F">
        <w:rPr>
          <w:rFonts w:hint="eastAsia"/>
        </w:rPr>
        <w:t>）</w:t>
      </w:r>
      <w:r w:rsidR="00011EA4">
        <w:rPr>
          <w:rFonts w:hint="eastAsia"/>
        </w:rPr>
        <w:t>。假设中，</w:t>
      </w:r>
      <w:r w:rsidR="00E30D2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E30D2F">
        <w:rPr>
          <w:rFonts w:hint="eastAsia"/>
          <w:kern w:val="0"/>
          <w:szCs w:val="24"/>
        </w:rPr>
        <w:t>，</w:t>
      </w:r>
      <w:r w:rsidR="00E57D66">
        <w:rPr>
          <w:rFonts w:hint="eastAsia"/>
          <w:kern w:val="0"/>
          <w:szCs w:val="24"/>
        </w:rPr>
        <w:t>满足假设的结果</w:t>
      </w:r>
      <w:r w:rsidR="008A4C5F">
        <w:rPr>
          <w:rFonts w:hint="eastAsia"/>
          <w:kern w:val="0"/>
          <w:szCs w:val="24"/>
        </w:rPr>
        <w:t>共有1</w:t>
      </w:r>
      <w:r w:rsidR="008A4C5F">
        <w:rPr>
          <w:kern w:val="0"/>
          <w:szCs w:val="24"/>
        </w:rPr>
        <w:t>6</w:t>
      </w:r>
      <w:r w:rsidR="008A4C5F">
        <w:rPr>
          <w:rFonts w:hint="eastAsia"/>
          <w:kern w:val="0"/>
          <w:szCs w:val="24"/>
        </w:rPr>
        <w:t>个</w:t>
      </w:r>
      <w:r w:rsidR="004230BF">
        <w:rPr>
          <w:rFonts w:hint="eastAsia"/>
          <w:kern w:val="0"/>
          <w:szCs w:val="24"/>
        </w:rPr>
        <w:t>，占比</w:t>
      </w:r>
      <w:r w:rsidR="00650860">
        <w:rPr>
          <w:rFonts w:hint="eastAsia"/>
          <w:kern w:val="0"/>
          <w:szCs w:val="24"/>
        </w:rPr>
        <w:t>达到</w:t>
      </w:r>
      <w:r w:rsidR="00855668">
        <w:rPr>
          <w:rFonts w:hint="eastAsia"/>
          <w:kern w:val="0"/>
          <w:szCs w:val="24"/>
        </w:rPr>
        <w:t>8</w:t>
      </w:r>
      <w:r w:rsidR="00855668">
        <w:rPr>
          <w:kern w:val="0"/>
          <w:szCs w:val="24"/>
        </w:rPr>
        <w:t>8.89%</w:t>
      </w:r>
      <w:r w:rsidR="00EF48B5">
        <w:rPr>
          <w:rFonts w:hint="eastAsia"/>
          <w:kern w:val="0"/>
          <w:szCs w:val="24"/>
        </w:rPr>
        <w:t>。</w:t>
      </w:r>
      <w:r w:rsidR="00BD362B">
        <w:rPr>
          <w:rFonts w:hint="eastAsia"/>
          <w:kern w:val="0"/>
          <w:szCs w:val="24"/>
        </w:rPr>
        <w:t>分别观察正与负日历效应</w:t>
      </w:r>
      <w:r w:rsidR="0030772B">
        <w:rPr>
          <w:rFonts w:hint="eastAsia"/>
          <w:kern w:val="0"/>
          <w:szCs w:val="24"/>
        </w:rPr>
        <w:t>，所有负日历效应</w:t>
      </w:r>
      <w:r w:rsidR="00001C9C">
        <w:rPr>
          <w:rFonts w:hint="eastAsia"/>
          <w:kern w:val="0"/>
          <w:szCs w:val="24"/>
        </w:rPr>
        <w:t>与风险因素的交互项系数均为负值</w:t>
      </w:r>
      <w:r w:rsidR="006D7398">
        <w:rPr>
          <w:rFonts w:hint="eastAsia"/>
          <w:kern w:val="0"/>
          <w:szCs w:val="24"/>
        </w:rPr>
        <w:t>，与假设</w:t>
      </w:r>
      <w:r w:rsidR="001E5C4D">
        <w:rPr>
          <w:rFonts w:hint="eastAsia"/>
          <w:kern w:val="0"/>
          <w:szCs w:val="24"/>
        </w:rPr>
        <w:t>一致</w:t>
      </w:r>
      <w:r w:rsidR="00331970">
        <w:rPr>
          <w:rFonts w:hint="eastAsia"/>
          <w:kern w:val="0"/>
          <w:szCs w:val="24"/>
        </w:rPr>
        <w:t>；正日历效应中有</w:t>
      </w:r>
      <w:r w:rsidR="003A28C5">
        <w:rPr>
          <w:rFonts w:hint="eastAsia"/>
          <w:kern w:val="0"/>
          <w:szCs w:val="24"/>
        </w:rPr>
        <w:t>2个结果与假设相反</w:t>
      </w:r>
      <w:r w:rsidR="005A5F40">
        <w:rPr>
          <w:rFonts w:hint="eastAsia"/>
          <w:kern w:val="0"/>
          <w:szCs w:val="24"/>
        </w:rPr>
        <w:t>，满足假设的结果占比达到</w:t>
      </w:r>
      <w:r w:rsidR="00C96FB5">
        <w:rPr>
          <w:rFonts w:hint="eastAsia"/>
          <w:kern w:val="0"/>
          <w:szCs w:val="24"/>
        </w:rPr>
        <w:t>7</w:t>
      </w:r>
      <w:r w:rsidR="00C96FB5">
        <w:rPr>
          <w:kern w:val="0"/>
          <w:szCs w:val="24"/>
        </w:rPr>
        <w:t>5</w:t>
      </w:r>
      <w:r w:rsidR="00C96FB5">
        <w:rPr>
          <w:rFonts w:hint="eastAsia"/>
          <w:kern w:val="0"/>
          <w:szCs w:val="24"/>
        </w:rPr>
        <w:t>%</w:t>
      </w:r>
      <w:r w:rsidR="00564446">
        <w:rPr>
          <w:rFonts w:hint="eastAsia"/>
          <w:kern w:val="0"/>
          <w:szCs w:val="24"/>
        </w:rPr>
        <w:t>。</w:t>
      </w:r>
      <w:r w:rsidR="00E66AFE">
        <w:rPr>
          <w:rFonts w:hint="eastAsia"/>
          <w:kern w:val="0"/>
          <w:szCs w:val="24"/>
        </w:rPr>
        <w:t>整体而言</w:t>
      </w:r>
      <w:r w:rsidR="009F2673">
        <w:rPr>
          <w:rFonts w:hint="eastAsia"/>
          <w:kern w:val="0"/>
          <w:szCs w:val="24"/>
        </w:rPr>
        <w:t>，风险因素</w:t>
      </w:r>
      <w:r w:rsidR="00787F19">
        <w:rPr>
          <w:rFonts w:hint="eastAsia"/>
          <w:kern w:val="0"/>
          <w:szCs w:val="24"/>
        </w:rPr>
        <w:t>加强</w:t>
      </w:r>
      <w:r w:rsidR="00463462">
        <w:rPr>
          <w:rFonts w:hint="eastAsia"/>
          <w:kern w:val="0"/>
          <w:szCs w:val="24"/>
        </w:rPr>
        <w:t>负日历效应的</w:t>
      </w:r>
      <w:r w:rsidR="00787F19">
        <w:rPr>
          <w:rFonts w:hint="eastAsia"/>
          <w:kern w:val="0"/>
          <w:szCs w:val="24"/>
        </w:rPr>
        <w:t>结论</w:t>
      </w:r>
      <w:r w:rsidR="004B6542">
        <w:rPr>
          <w:rFonts w:hint="eastAsia"/>
          <w:kern w:val="0"/>
          <w:szCs w:val="24"/>
        </w:rPr>
        <w:t>相比减弱正日历效应的结论更</w:t>
      </w:r>
      <w:r w:rsidR="00300383">
        <w:rPr>
          <w:rFonts w:hint="eastAsia"/>
          <w:kern w:val="0"/>
          <w:szCs w:val="24"/>
        </w:rPr>
        <w:t>令人信服</w:t>
      </w:r>
      <w:r w:rsidR="00F43561">
        <w:rPr>
          <w:rFonts w:hint="eastAsia"/>
          <w:kern w:val="0"/>
          <w:szCs w:val="24"/>
        </w:rPr>
        <w:t>，两个结论</w:t>
      </w:r>
      <w:r w:rsidR="00733399">
        <w:rPr>
          <w:rFonts w:hint="eastAsia"/>
          <w:kern w:val="0"/>
          <w:szCs w:val="24"/>
        </w:rPr>
        <w:t>均具有</w:t>
      </w:r>
      <w:r w:rsidR="00270FD0">
        <w:rPr>
          <w:rFonts w:hint="eastAsia"/>
          <w:kern w:val="0"/>
          <w:szCs w:val="24"/>
        </w:rPr>
        <w:t>可信性</w:t>
      </w:r>
      <w:r w:rsidR="00C7374A">
        <w:rPr>
          <w:rFonts w:hint="eastAsia"/>
          <w:kern w:val="0"/>
          <w:szCs w:val="24"/>
        </w:rPr>
        <w:t>。</w:t>
      </w:r>
      <w:r w:rsidR="009E285D">
        <w:rPr>
          <w:rFonts w:hint="eastAsia"/>
          <w:kern w:val="0"/>
          <w:szCs w:val="24"/>
        </w:rPr>
        <w:t>结合代理风险因素的实际指标，</w:t>
      </w:r>
      <w:r w:rsidR="003D4158">
        <w:rPr>
          <w:rFonts w:hint="eastAsia"/>
          <w:kern w:val="0"/>
          <w:szCs w:val="24"/>
        </w:rPr>
        <w:t>股指</w:t>
      </w:r>
      <w:r w:rsidR="0082235B">
        <w:rPr>
          <w:rFonts w:hint="eastAsia"/>
          <w:kern w:val="0"/>
          <w:szCs w:val="24"/>
        </w:rPr>
        <w:t>平均市盈率</w:t>
      </w:r>
      <w:r w:rsidR="003D4158">
        <w:rPr>
          <w:rFonts w:hint="eastAsia"/>
          <w:kern w:val="0"/>
          <w:szCs w:val="24"/>
        </w:rPr>
        <w:t>相较</w:t>
      </w:r>
      <w:proofErr w:type="gramStart"/>
      <w:r w:rsidR="003D4158">
        <w:rPr>
          <w:rFonts w:hint="eastAsia"/>
          <w:kern w:val="0"/>
          <w:szCs w:val="24"/>
        </w:rPr>
        <w:t>于往期1</w:t>
      </w:r>
      <w:r w:rsidR="003D4158">
        <w:rPr>
          <w:kern w:val="0"/>
          <w:szCs w:val="24"/>
        </w:rPr>
        <w:t>0</w:t>
      </w:r>
      <w:r w:rsidR="003D4158">
        <w:rPr>
          <w:rFonts w:hint="eastAsia"/>
          <w:kern w:val="0"/>
          <w:szCs w:val="24"/>
        </w:rPr>
        <w:t>个</w:t>
      </w:r>
      <w:proofErr w:type="gramEnd"/>
      <w:r w:rsidR="003D4158">
        <w:rPr>
          <w:rFonts w:hint="eastAsia"/>
          <w:kern w:val="0"/>
          <w:szCs w:val="24"/>
        </w:rPr>
        <w:t>交易日</w:t>
      </w:r>
      <w:r w:rsidR="00E4510F">
        <w:rPr>
          <w:rFonts w:hint="eastAsia"/>
          <w:kern w:val="0"/>
          <w:szCs w:val="24"/>
        </w:rPr>
        <w:t>的</w:t>
      </w:r>
      <w:r w:rsidR="0012350D">
        <w:rPr>
          <w:rFonts w:hint="eastAsia"/>
          <w:kern w:val="0"/>
          <w:szCs w:val="24"/>
        </w:rPr>
        <w:t>增加值</w:t>
      </w:r>
      <w:r w:rsidR="00F5625D">
        <w:rPr>
          <w:rFonts w:hint="eastAsia"/>
          <w:kern w:val="0"/>
          <w:szCs w:val="24"/>
        </w:rPr>
        <w:t>越大</w:t>
      </w:r>
      <w:r w:rsidR="001C60D2">
        <w:rPr>
          <w:rFonts w:hint="eastAsia"/>
          <w:kern w:val="0"/>
          <w:szCs w:val="24"/>
        </w:rPr>
        <w:t>，</w:t>
      </w:r>
      <w:r w:rsidR="00713A6A">
        <w:rPr>
          <w:rFonts w:hint="eastAsia"/>
          <w:kern w:val="0"/>
          <w:szCs w:val="24"/>
        </w:rPr>
        <w:t>股指越高或</w:t>
      </w:r>
      <w:r w:rsidR="007A614B">
        <w:rPr>
          <w:rFonts w:hint="eastAsia"/>
          <w:kern w:val="0"/>
          <w:szCs w:val="24"/>
        </w:rPr>
        <w:t>股指成分股</w:t>
      </w:r>
      <w:r w:rsidR="007D6CD6">
        <w:rPr>
          <w:rFonts w:hint="eastAsia"/>
          <w:kern w:val="0"/>
          <w:szCs w:val="24"/>
        </w:rPr>
        <w:t>加权平均每股净利润越小</w:t>
      </w:r>
      <w:r w:rsidR="00B24D80">
        <w:rPr>
          <w:rFonts w:hint="eastAsia"/>
          <w:kern w:val="0"/>
          <w:szCs w:val="24"/>
        </w:rPr>
        <w:t>，</w:t>
      </w:r>
      <w:r w:rsidR="008F1BB6">
        <w:rPr>
          <w:rFonts w:hint="eastAsia"/>
          <w:kern w:val="0"/>
          <w:szCs w:val="24"/>
        </w:rPr>
        <w:t>投资者承担风险越大</w:t>
      </w:r>
      <w:r w:rsidR="00B24D80">
        <w:rPr>
          <w:rFonts w:hint="eastAsia"/>
          <w:kern w:val="0"/>
          <w:szCs w:val="24"/>
        </w:rPr>
        <w:t>或</w:t>
      </w:r>
      <w:r w:rsidR="009C083C">
        <w:rPr>
          <w:rFonts w:hint="eastAsia"/>
          <w:kern w:val="0"/>
          <w:szCs w:val="24"/>
        </w:rPr>
        <w:t>股指</w:t>
      </w:r>
      <w:r w:rsidR="00A67D30">
        <w:rPr>
          <w:rFonts w:hint="eastAsia"/>
          <w:kern w:val="0"/>
          <w:szCs w:val="24"/>
        </w:rPr>
        <w:t>整体</w:t>
      </w:r>
      <w:r w:rsidR="009C083C">
        <w:rPr>
          <w:rFonts w:hint="eastAsia"/>
          <w:kern w:val="0"/>
          <w:szCs w:val="24"/>
        </w:rPr>
        <w:t>蕴含价值越低</w:t>
      </w:r>
      <w:r w:rsidR="006A075F">
        <w:rPr>
          <w:rFonts w:hint="eastAsia"/>
          <w:kern w:val="0"/>
          <w:szCs w:val="24"/>
        </w:rPr>
        <w:t>，</w:t>
      </w:r>
      <w:r w:rsidR="00F25C44">
        <w:rPr>
          <w:rFonts w:hint="eastAsia"/>
          <w:kern w:val="0"/>
          <w:szCs w:val="24"/>
        </w:rPr>
        <w:t>减弱</w:t>
      </w:r>
      <w:r w:rsidR="008C558E">
        <w:rPr>
          <w:rFonts w:hint="eastAsia"/>
          <w:kern w:val="0"/>
          <w:szCs w:val="24"/>
        </w:rPr>
        <w:t>当期</w:t>
      </w:r>
      <w:r w:rsidR="00F25C44">
        <w:rPr>
          <w:rFonts w:hint="eastAsia"/>
          <w:kern w:val="0"/>
          <w:szCs w:val="24"/>
        </w:rPr>
        <w:t>正</w:t>
      </w:r>
      <w:r w:rsidR="00CC5D92">
        <w:rPr>
          <w:rFonts w:hint="eastAsia"/>
          <w:kern w:val="0"/>
          <w:szCs w:val="24"/>
        </w:rPr>
        <w:t>日历效应、加强</w:t>
      </w:r>
      <w:r w:rsidR="002156C9">
        <w:rPr>
          <w:rFonts w:hint="eastAsia"/>
          <w:kern w:val="0"/>
          <w:szCs w:val="24"/>
        </w:rPr>
        <w:t>当期</w:t>
      </w:r>
      <w:r w:rsidR="00CC5D92">
        <w:rPr>
          <w:rFonts w:hint="eastAsia"/>
          <w:kern w:val="0"/>
          <w:szCs w:val="24"/>
        </w:rPr>
        <w:t>负日历效应</w:t>
      </w:r>
      <w:r w:rsidR="000B66EC">
        <w:rPr>
          <w:rFonts w:hint="eastAsia"/>
          <w:kern w:val="0"/>
          <w:szCs w:val="24"/>
        </w:rPr>
        <w:t>。</w:t>
      </w:r>
      <w:r w:rsidR="007E0D43">
        <w:rPr>
          <w:rFonts w:hint="eastAsia"/>
          <w:kern w:val="0"/>
          <w:szCs w:val="24"/>
        </w:rPr>
        <w:t>回顾</w:t>
      </w:r>
      <w:r w:rsidR="000B66EC">
        <w:rPr>
          <w:rFonts w:hint="eastAsia"/>
          <w:kern w:val="0"/>
          <w:szCs w:val="24"/>
        </w:rPr>
        <w:t>前一小节的交互项</w:t>
      </w:r>
      <w:r w:rsidR="007C1D94">
        <w:rPr>
          <w:rFonts w:hint="eastAsia"/>
          <w:kern w:val="0"/>
          <w:szCs w:val="24"/>
        </w:rPr>
        <w:t xml:space="preserve"> </w:t>
      </w:r>
      <w:r w:rsidR="00B9530B">
        <w:rPr>
          <w:rFonts w:hint="eastAsia"/>
          <w:kern w:val="0"/>
          <w:szCs w:val="24"/>
        </w:rPr>
        <w:t>“</w:t>
      </w:r>
      <m:oMath>
        <m:f>
          <m:fPr>
            <m:ctrlPr>
              <w:rPr>
                <w:rFonts w:ascii="Cambria Math" w:hAnsi="Cambria Math"/>
              </w:rPr>
            </m:ctrlPr>
          </m:fPr>
          <m:num>
            <m:r>
              <w:rPr>
                <w:rFonts w:ascii="Cambria Math" w:hAnsi="Cambria Math"/>
              </w:rPr>
              <m:t>∆(</m:t>
            </m:r>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r>
              <w:rPr>
                <w:rFonts w:ascii="Cambria Math" w:hAnsi="Cambria Math"/>
              </w:rPr>
              <m:t>)</m:t>
            </m:r>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B9530B">
        <w:rPr>
          <w:rFonts w:hint="eastAsia"/>
          <w:kern w:val="0"/>
          <w:szCs w:val="24"/>
        </w:rPr>
        <w:t>”</w:t>
      </w:r>
      <w:r w:rsidR="000B66EC">
        <w:rPr>
          <w:rFonts w:hint="eastAsia"/>
          <w:kern w:val="0"/>
          <w:szCs w:val="24"/>
        </w:rPr>
        <w:t>更易理解这一结果</w:t>
      </w:r>
      <w:r w:rsidR="00D44979">
        <w:rPr>
          <w:rFonts w:hint="eastAsia"/>
          <w:kern w:val="0"/>
          <w:szCs w:val="24"/>
        </w:rPr>
        <w:t>：</w:t>
      </w:r>
      <w:r w:rsidR="003302F5">
        <w:rPr>
          <w:rFonts w:hint="eastAsia"/>
        </w:rPr>
        <w:t>其中</w:t>
      </w:r>
      <m:oMath>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oMath>
      <w:r w:rsidR="00E3001E">
        <w:rPr>
          <w:rFonts w:hint="eastAsia"/>
        </w:rPr>
        <w:t>即为日历效应</w:t>
      </w:r>
      <w:r w:rsidR="007E5BA4">
        <w:rPr>
          <w:rFonts w:hint="eastAsia"/>
        </w:rPr>
        <w:t>，以负日历效应的结果为例</w:t>
      </w:r>
      <w:r w:rsidR="00C77E10">
        <w:rPr>
          <w:rFonts w:hint="eastAsia"/>
        </w:rPr>
        <w:t>，该</w:t>
      </w:r>
      <w:r w:rsidR="00631BCB">
        <w:rPr>
          <w:rFonts w:hint="eastAsia"/>
        </w:rPr>
        <w:t>变量</w:t>
      </w:r>
      <w:r w:rsidR="00861BE9">
        <w:rPr>
          <w:rFonts w:hint="eastAsia"/>
        </w:rPr>
        <w:t>目前</w:t>
      </w:r>
      <w:r w:rsidR="00C77E10">
        <w:rPr>
          <w:rFonts w:hint="eastAsia"/>
        </w:rPr>
        <w:t>为负值</w:t>
      </w:r>
      <w:r w:rsidR="00631BCB">
        <w:rPr>
          <w:rFonts w:hint="eastAsia"/>
        </w:rPr>
        <w:t>，并令该</w:t>
      </w:r>
      <w:r w:rsidR="00517A70">
        <w:rPr>
          <w:rFonts w:hint="eastAsia"/>
        </w:rPr>
        <w:t>变量</w:t>
      </w:r>
      <w:r w:rsidR="00607A44">
        <w:rPr>
          <w:rFonts w:hint="eastAsia"/>
        </w:rPr>
        <w:t>等于</w:t>
      </w:r>
      <m:oMath>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oMath>
      <w:r w:rsidR="00407190">
        <w:rPr>
          <w:rFonts w:hint="eastAsia"/>
        </w:rPr>
        <w:t>作为被解释变量</w:t>
      </w:r>
      <w:r w:rsidR="00205651">
        <w:rPr>
          <w:rFonts w:hint="eastAsia"/>
        </w:rPr>
        <w:t>，则</w:t>
      </w:r>
      <w:r w:rsidR="00205651">
        <w:rPr>
          <w:rFonts w:hint="eastAsia"/>
          <w:kern w:val="0"/>
          <w:szCs w:val="24"/>
        </w:rPr>
        <w:t>“</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205651">
        <w:rPr>
          <w:rFonts w:hint="eastAsia"/>
          <w:kern w:val="0"/>
          <w:szCs w:val="24"/>
        </w:rPr>
        <w:t>”</w:t>
      </w:r>
      <w:r w:rsidR="00922B97">
        <w:rPr>
          <w:rFonts w:hint="eastAsia"/>
          <w:kern w:val="0"/>
          <w:szCs w:val="24"/>
        </w:rPr>
        <w:t>，</w:t>
      </w:r>
      <w:r w:rsidR="00096877">
        <w:rPr>
          <w:rFonts w:hint="eastAsia"/>
          <w:kern w:val="0"/>
          <w:szCs w:val="24"/>
        </w:rPr>
        <w:t>负的联合估计交互项系数</w:t>
      </w:r>
      <w:r w:rsidR="00073152">
        <w:rPr>
          <w:rFonts w:hint="eastAsia"/>
          <w:kern w:val="0"/>
          <w:szCs w:val="24"/>
        </w:rPr>
        <w:t>表明</w:t>
      </w:r>
      <w:r w:rsidR="00C16E48">
        <w:rPr>
          <w:rFonts w:hint="eastAsia"/>
          <w:kern w:val="0"/>
          <w:szCs w:val="24"/>
        </w:rPr>
        <w:t>风险因素</w:t>
      </w:r>
      <w:r w:rsidR="00CD0040">
        <w:rPr>
          <w:rFonts w:hint="eastAsia"/>
          <w:kern w:val="0"/>
          <w:szCs w:val="24"/>
        </w:rPr>
        <w:t>增大时日历效应结果将减小</w:t>
      </w:r>
      <w:r w:rsidR="008D3380">
        <w:rPr>
          <w:rFonts w:hint="eastAsia"/>
          <w:kern w:val="0"/>
          <w:szCs w:val="24"/>
        </w:rPr>
        <w:t>，更小的负值表明</w:t>
      </w:r>
      <w:r w:rsidR="00AF6742">
        <w:rPr>
          <w:rFonts w:hint="eastAsia"/>
          <w:kern w:val="0"/>
          <w:szCs w:val="24"/>
        </w:rPr>
        <w:t>加强</w:t>
      </w:r>
      <w:r w:rsidR="008D3380">
        <w:rPr>
          <w:rFonts w:hint="eastAsia"/>
          <w:kern w:val="0"/>
          <w:szCs w:val="24"/>
        </w:rPr>
        <w:t>负日历效应</w:t>
      </w:r>
      <w:r w:rsidR="00D74308">
        <w:rPr>
          <w:rFonts w:hint="eastAsia"/>
          <w:kern w:val="0"/>
          <w:szCs w:val="24"/>
        </w:rPr>
        <w:t>。</w:t>
      </w:r>
    </w:p>
    <w:p w14:paraId="53C32A9E" w14:textId="34E29307" w:rsidR="0014459A" w:rsidRDefault="00564DA7" w:rsidP="0014459A">
      <w:pPr>
        <w:pStyle w:val="ac"/>
        <w:ind w:firstLine="420"/>
        <w:rPr>
          <w:kern w:val="0"/>
          <w:szCs w:val="24"/>
        </w:rPr>
      </w:pPr>
      <w:r>
        <w:rPr>
          <w:rFonts w:hint="eastAsia"/>
        </w:rPr>
        <w:t>情绪因素</w:t>
      </w:r>
      <w:r w:rsidR="00F36FE2">
        <w:rPr>
          <w:rFonts w:hint="eastAsia"/>
        </w:rPr>
        <w:t>与日历效应</w:t>
      </w:r>
      <w:proofErr w:type="gramStart"/>
      <w:r w:rsidR="00F36FE2">
        <w:rPr>
          <w:rFonts w:hint="eastAsia"/>
        </w:rPr>
        <w:t>哑</w:t>
      </w:r>
      <w:proofErr w:type="gramEnd"/>
      <w:r w:rsidR="00F36FE2">
        <w:rPr>
          <w:rFonts w:hint="eastAsia"/>
        </w:rPr>
        <w:t>变量交互项系数</w:t>
      </w:r>
      <w:r w:rsidR="00D86567">
        <w:rPr>
          <w:rFonts w:hint="eastAsia"/>
        </w:rPr>
        <w:t>基本与理论分析后的假设结果相同。</w:t>
      </w:r>
      <w:r w:rsidR="004E3526">
        <w:rPr>
          <w:rFonts w:hint="eastAsia"/>
        </w:rPr>
        <w:t>所进行的日历效应情绪因素</w:t>
      </w:r>
      <w:r w:rsidR="00EE135F">
        <w:rPr>
          <w:rFonts w:hint="eastAsia"/>
        </w:rPr>
        <w:t>检验</w:t>
      </w:r>
      <w:r w:rsidR="00785C69">
        <w:rPr>
          <w:rFonts w:hint="eastAsia"/>
        </w:rPr>
        <w:t>工1</w:t>
      </w:r>
      <w:r w:rsidR="00785C69">
        <w:t>8</w:t>
      </w:r>
      <w:r w:rsidR="00785C69">
        <w:rPr>
          <w:rFonts w:hint="eastAsia"/>
        </w:rPr>
        <w:t>个</w:t>
      </w:r>
      <w:r w:rsidR="00C72904">
        <w:rPr>
          <w:rFonts w:hint="eastAsia"/>
        </w:rPr>
        <w:t>，结果中1</w:t>
      </w:r>
      <w:r w:rsidR="0008313D">
        <w:t>5</w:t>
      </w:r>
      <w:r w:rsidR="00C72904">
        <w:rPr>
          <w:rFonts w:hint="eastAsia"/>
        </w:rPr>
        <w:t>个在0</w:t>
      </w:r>
      <w:r w:rsidR="00C72904">
        <w:t>.01</w:t>
      </w:r>
      <w:r w:rsidR="00C72904">
        <w:rPr>
          <w:rFonts w:hint="eastAsia"/>
        </w:rPr>
        <w:t>的显著性水平下显著，</w:t>
      </w:r>
      <w:r w:rsidR="0008313D">
        <w:t>3</w:t>
      </w:r>
      <w:r w:rsidR="00745E4D">
        <w:rPr>
          <w:rFonts w:hint="eastAsia"/>
        </w:rPr>
        <w:t>个在0</w:t>
      </w:r>
      <w:r w:rsidR="00745E4D">
        <w:t>.05</w:t>
      </w:r>
      <w:r w:rsidR="00745E4D">
        <w:rPr>
          <w:rFonts w:hint="eastAsia"/>
        </w:rPr>
        <w:t>的显著性水平</w:t>
      </w:r>
      <w:r w:rsidR="008D27CD">
        <w:rPr>
          <w:rFonts w:hint="eastAsia"/>
        </w:rPr>
        <w:t>下</w:t>
      </w:r>
      <w:r w:rsidR="00745E4D">
        <w:rPr>
          <w:rFonts w:hint="eastAsia"/>
        </w:rPr>
        <w:t>显著</w:t>
      </w:r>
      <w:r w:rsidR="008D27CD">
        <w:rPr>
          <w:rFonts w:hint="eastAsia"/>
        </w:rPr>
        <w:t>。</w:t>
      </w:r>
      <w:r w:rsidR="009630CD">
        <w:rPr>
          <w:rFonts w:hint="eastAsia"/>
        </w:rPr>
        <w:t>假设中，</w:t>
      </w:r>
      <w:r w:rsidR="00C93FC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&gt;0</m:t>
        </m:r>
      </m:oMath>
      <w:r w:rsidR="000B7B1E">
        <w:rPr>
          <w:rFonts w:hint="eastAsia"/>
          <w:kern w:val="0"/>
          <w:szCs w:val="24"/>
        </w:rPr>
        <w:t>，</w:t>
      </w:r>
      <w:r w:rsidR="0008313D">
        <w:rPr>
          <w:rFonts w:hint="eastAsia"/>
          <w:kern w:val="0"/>
          <w:szCs w:val="24"/>
        </w:rPr>
        <w:t>满足假设的结果共有1</w:t>
      </w:r>
      <w:r w:rsidR="0008313D">
        <w:rPr>
          <w:kern w:val="0"/>
          <w:szCs w:val="24"/>
        </w:rPr>
        <w:t>7</w:t>
      </w:r>
      <w:r w:rsidR="0008313D">
        <w:rPr>
          <w:rFonts w:hint="eastAsia"/>
          <w:kern w:val="0"/>
          <w:szCs w:val="24"/>
        </w:rPr>
        <w:t>个</w:t>
      </w:r>
      <w:r w:rsidR="00C70FC4">
        <w:rPr>
          <w:rFonts w:hint="eastAsia"/>
          <w:kern w:val="0"/>
          <w:szCs w:val="24"/>
        </w:rPr>
        <w:t>，占比达到9</w:t>
      </w:r>
      <w:r w:rsidR="00C70FC4">
        <w:rPr>
          <w:kern w:val="0"/>
          <w:szCs w:val="24"/>
        </w:rPr>
        <w:t>4.44</w:t>
      </w:r>
      <w:r w:rsidR="00C70FC4">
        <w:rPr>
          <w:rFonts w:hint="eastAsia"/>
          <w:kern w:val="0"/>
          <w:szCs w:val="24"/>
        </w:rPr>
        <w:t>%</w:t>
      </w:r>
      <w:r w:rsidR="005C5C25">
        <w:rPr>
          <w:rFonts w:hint="eastAsia"/>
          <w:kern w:val="0"/>
          <w:szCs w:val="24"/>
        </w:rPr>
        <w:t>，整体可信度高</w:t>
      </w:r>
      <w:r w:rsidR="00F346ED">
        <w:rPr>
          <w:rFonts w:hint="eastAsia"/>
          <w:kern w:val="0"/>
          <w:szCs w:val="24"/>
        </w:rPr>
        <w:t>。结合代理情绪因素的变量</w:t>
      </w:r>
      <w:r w:rsidR="00ED61AA">
        <w:rPr>
          <w:rFonts w:hint="eastAsia"/>
          <w:kern w:val="0"/>
          <w:szCs w:val="24"/>
        </w:rPr>
        <w:t>含义</w:t>
      </w:r>
      <w:r w:rsidR="004C500B">
        <w:rPr>
          <w:rFonts w:hint="eastAsia"/>
          <w:kern w:val="0"/>
          <w:szCs w:val="24"/>
        </w:rPr>
        <w:t>，结果表明</w:t>
      </w:r>
      <w:r w:rsidR="00037C17">
        <w:rPr>
          <w:rFonts w:hint="eastAsia"/>
          <w:kern w:val="0"/>
          <w:szCs w:val="24"/>
        </w:rPr>
        <w:t>投资者情绪中从众效应</w:t>
      </w:r>
      <w:r w:rsidR="00C76535">
        <w:rPr>
          <w:rFonts w:hint="eastAsia"/>
          <w:kern w:val="0"/>
          <w:szCs w:val="24"/>
        </w:rPr>
        <w:t>越强、</w:t>
      </w:r>
      <w:r w:rsidR="00037C17">
        <w:rPr>
          <w:rFonts w:hint="eastAsia"/>
          <w:kern w:val="0"/>
          <w:szCs w:val="24"/>
        </w:rPr>
        <w:t>羊群行为</w:t>
      </w:r>
      <w:r w:rsidR="00C76535">
        <w:rPr>
          <w:rFonts w:hint="eastAsia"/>
          <w:kern w:val="0"/>
          <w:szCs w:val="24"/>
        </w:rPr>
        <w:t>越普遍</w:t>
      </w:r>
      <w:r w:rsidR="00854071">
        <w:rPr>
          <w:rFonts w:hint="eastAsia"/>
          <w:kern w:val="0"/>
          <w:szCs w:val="24"/>
        </w:rPr>
        <w:t>或者</w:t>
      </w:r>
      <w:r w:rsidR="00317A6D">
        <w:rPr>
          <w:rFonts w:hint="eastAsia"/>
          <w:kern w:val="0"/>
          <w:szCs w:val="24"/>
        </w:rPr>
        <w:t>投资者乐观、自信程度越高</w:t>
      </w:r>
      <w:r w:rsidR="004A59CF">
        <w:rPr>
          <w:rFonts w:hint="eastAsia"/>
          <w:kern w:val="0"/>
          <w:szCs w:val="24"/>
        </w:rPr>
        <w:t>，</w:t>
      </w:r>
      <w:r w:rsidR="00411E92">
        <w:rPr>
          <w:rFonts w:hint="eastAsia"/>
          <w:kern w:val="0"/>
          <w:szCs w:val="24"/>
        </w:rPr>
        <w:t>加强</w:t>
      </w:r>
      <w:r w:rsidR="006E198B">
        <w:rPr>
          <w:rFonts w:hint="eastAsia"/>
          <w:kern w:val="0"/>
          <w:szCs w:val="24"/>
        </w:rPr>
        <w:t>当期</w:t>
      </w:r>
      <w:r w:rsidR="00F93C74">
        <w:rPr>
          <w:rFonts w:hint="eastAsia"/>
          <w:kern w:val="0"/>
          <w:szCs w:val="24"/>
        </w:rPr>
        <w:t>正日历效应</w:t>
      </w:r>
      <w:r w:rsidR="006E198B">
        <w:rPr>
          <w:rFonts w:hint="eastAsia"/>
          <w:kern w:val="0"/>
          <w:szCs w:val="24"/>
        </w:rPr>
        <w:t>、</w:t>
      </w:r>
      <w:r w:rsidR="00F93C74">
        <w:rPr>
          <w:rFonts w:hint="eastAsia"/>
          <w:kern w:val="0"/>
          <w:szCs w:val="24"/>
        </w:rPr>
        <w:t>减弱</w:t>
      </w:r>
      <w:r w:rsidR="006E198B">
        <w:rPr>
          <w:rFonts w:hint="eastAsia"/>
          <w:kern w:val="0"/>
          <w:szCs w:val="24"/>
        </w:rPr>
        <w:t>当期</w:t>
      </w:r>
      <w:r w:rsidR="00F93C74">
        <w:rPr>
          <w:rFonts w:hint="eastAsia"/>
          <w:kern w:val="0"/>
          <w:szCs w:val="24"/>
        </w:rPr>
        <w:t>负日历效应</w:t>
      </w:r>
      <w:r w:rsidR="001762D0">
        <w:rPr>
          <w:rFonts w:hint="eastAsia"/>
          <w:kern w:val="0"/>
          <w:szCs w:val="24"/>
        </w:rPr>
        <w:t>。</w:t>
      </w:r>
    </w:p>
    <w:p w14:paraId="732F38EC" w14:textId="6628BC40" w:rsidR="003406BA" w:rsidRDefault="00DB0AE7" w:rsidP="0014459A">
      <w:pPr>
        <w:pStyle w:val="ac"/>
        <w:ind w:firstLine="420"/>
        <w:rPr>
          <w:kern w:val="0"/>
          <w:szCs w:val="24"/>
        </w:rPr>
      </w:pPr>
      <w:r>
        <w:rPr>
          <w:rFonts w:hint="eastAsia"/>
        </w:rPr>
        <w:t>政策因素与日历效应</w:t>
      </w:r>
      <w:proofErr w:type="gramStart"/>
      <w:r>
        <w:rPr>
          <w:rFonts w:hint="eastAsia"/>
        </w:rPr>
        <w:t>哑</w:t>
      </w:r>
      <w:proofErr w:type="gramEnd"/>
      <w:r>
        <w:rPr>
          <w:rFonts w:hint="eastAsia"/>
        </w:rPr>
        <w:t>变量交互项系数</w:t>
      </w:r>
      <w:r w:rsidR="00983B91">
        <w:rPr>
          <w:rFonts w:hint="eastAsia"/>
        </w:rPr>
        <w:t>中</w:t>
      </w:r>
      <w:r w:rsidR="00F6399E">
        <w:rPr>
          <w:rFonts w:hint="eastAsia"/>
        </w:rPr>
        <w:t>符合理论假设的极少</w:t>
      </w:r>
      <w:r w:rsidR="00061849">
        <w:rPr>
          <w:rFonts w:hint="eastAsia"/>
        </w:rPr>
        <w:t>，且</w:t>
      </w:r>
      <w:r w:rsidR="004F3AD3">
        <w:rPr>
          <w:rFonts w:hint="eastAsia"/>
        </w:rPr>
        <w:t>共计1</w:t>
      </w:r>
      <w:r w:rsidR="004F3AD3">
        <w:t>8</w:t>
      </w:r>
      <w:r w:rsidR="004F3AD3">
        <w:rPr>
          <w:rFonts w:hint="eastAsia"/>
        </w:rPr>
        <w:t>个检验中</w:t>
      </w:r>
      <w:r w:rsidR="00061849">
        <w:rPr>
          <w:rFonts w:hint="eastAsia"/>
        </w:rPr>
        <w:t>存在</w:t>
      </w:r>
      <w:r w:rsidR="004F3AD3">
        <w:rPr>
          <w:rFonts w:hint="eastAsia"/>
        </w:rPr>
        <w:t>6个检验结果</w:t>
      </w:r>
      <w:r w:rsidR="00B157CE">
        <w:rPr>
          <w:rFonts w:hint="eastAsia"/>
        </w:rPr>
        <w:t>不显著</w:t>
      </w:r>
      <w:r w:rsidR="00E73D29">
        <w:rPr>
          <w:rFonts w:hint="eastAsia"/>
        </w:rPr>
        <w:t>，占比达到3</w:t>
      </w:r>
      <w:r w:rsidR="00E73D29">
        <w:t>3.33</w:t>
      </w:r>
      <w:r w:rsidR="00E73D29">
        <w:rPr>
          <w:rFonts w:hint="eastAsia"/>
        </w:rPr>
        <w:t>%</w:t>
      </w:r>
      <w:r w:rsidR="00CE0619">
        <w:rPr>
          <w:rFonts w:hint="eastAsia"/>
        </w:rPr>
        <w:t>。</w:t>
      </w:r>
      <w:proofErr w:type="gramStart"/>
      <w:r w:rsidR="00CE0619">
        <w:rPr>
          <w:rFonts w:hint="eastAsia"/>
        </w:rPr>
        <w:t>从显著</w:t>
      </w:r>
      <w:proofErr w:type="gramEnd"/>
      <w:r w:rsidR="00CE0619">
        <w:rPr>
          <w:rFonts w:hint="eastAsia"/>
        </w:rPr>
        <w:t>结果来看</w:t>
      </w:r>
      <w:r w:rsidR="005A611E">
        <w:rPr>
          <w:rFonts w:hint="eastAsia"/>
        </w:rPr>
        <w:t>，与假设完全相反的结果较多</w:t>
      </w:r>
      <w:r w:rsidR="008F4629">
        <w:rPr>
          <w:rFonts w:hint="eastAsia"/>
        </w:rPr>
        <w:t>，</w:t>
      </w:r>
      <w:r w:rsidR="00D126DD">
        <w:rPr>
          <w:rFonts w:hint="eastAsia"/>
        </w:rPr>
        <w:t>满足</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145DD5">
        <w:rPr>
          <w:rFonts w:hint="eastAsia"/>
          <w:kern w:val="0"/>
          <w:szCs w:val="24"/>
        </w:rPr>
        <w:t>的结果</w:t>
      </w:r>
      <w:r w:rsidR="00363030">
        <w:rPr>
          <w:rFonts w:hint="eastAsia"/>
          <w:kern w:val="0"/>
          <w:szCs w:val="24"/>
        </w:rPr>
        <w:t>总计为9个</w:t>
      </w:r>
      <w:r w:rsidR="00B14053">
        <w:rPr>
          <w:rFonts w:hint="eastAsia"/>
          <w:kern w:val="0"/>
          <w:szCs w:val="24"/>
        </w:rPr>
        <w:t>，占比达到7</w:t>
      </w:r>
      <w:r w:rsidR="00B14053">
        <w:rPr>
          <w:kern w:val="0"/>
          <w:szCs w:val="24"/>
        </w:rPr>
        <w:t>5</w:t>
      </w:r>
      <w:r w:rsidR="00B14053">
        <w:rPr>
          <w:rFonts w:hint="eastAsia"/>
          <w:kern w:val="0"/>
          <w:szCs w:val="24"/>
        </w:rPr>
        <w:t>%</w:t>
      </w:r>
      <w:r w:rsidR="00DE7CAE">
        <w:rPr>
          <w:rFonts w:hint="eastAsia"/>
          <w:kern w:val="0"/>
          <w:szCs w:val="24"/>
        </w:rPr>
        <w:t>。</w:t>
      </w:r>
      <w:r w:rsidR="00AC2E8F">
        <w:rPr>
          <w:rFonts w:hint="eastAsia"/>
          <w:kern w:val="0"/>
          <w:szCs w:val="24"/>
        </w:rPr>
        <w:t>本文</w:t>
      </w:r>
      <w:r w:rsidR="00DE7CAE">
        <w:rPr>
          <w:rFonts w:hint="eastAsia"/>
          <w:kern w:val="0"/>
          <w:szCs w:val="24"/>
        </w:rPr>
        <w:t>通过制表的方式更清晰地呈现结果：</w:t>
      </w:r>
    </w:p>
    <w:p w14:paraId="43CAD7EA" w14:textId="1CAA6075" w:rsidR="00B522EF" w:rsidRPr="00186580" w:rsidRDefault="00847EF5" w:rsidP="00720931">
      <w:pPr>
        <w:pStyle w:val="ac"/>
        <w:ind w:firstLineChars="0" w:firstLine="0"/>
        <w:jc w:val="center"/>
        <w:rPr>
          <w:b/>
          <w:kern w:val="0"/>
          <w:szCs w:val="24"/>
        </w:rPr>
      </w:pPr>
      <w:r w:rsidRPr="00186580">
        <w:rPr>
          <w:rFonts w:hint="eastAsia"/>
          <w:b/>
          <w:kern w:val="0"/>
          <w:szCs w:val="24"/>
        </w:rPr>
        <w:t>表4-</w:t>
      </w:r>
      <w:r w:rsidRPr="00186580">
        <w:rPr>
          <w:b/>
          <w:kern w:val="0"/>
          <w:szCs w:val="24"/>
        </w:rPr>
        <w:t xml:space="preserve">4 </w:t>
      </w:r>
      <w:r w:rsidRPr="00186580">
        <w:rPr>
          <w:rFonts w:hint="eastAsia"/>
          <w:b/>
          <w:kern w:val="0"/>
          <w:szCs w:val="24"/>
        </w:rPr>
        <w:t>政策因素</w:t>
      </w:r>
      <w:r w:rsidR="00404464" w:rsidRPr="00186580">
        <w:rPr>
          <w:rFonts w:hint="eastAsia"/>
          <w:b/>
          <w:kern w:val="0"/>
          <w:szCs w:val="24"/>
        </w:rPr>
        <w:t>对日历效应影响解析</w:t>
      </w:r>
      <w:r w:rsidR="00720931" w:rsidRPr="00186580">
        <w:rPr>
          <w:rFonts w:hint="eastAsia"/>
          <w:b/>
          <w:kern w:val="0"/>
          <w:szCs w:val="24"/>
        </w:rPr>
        <w:t>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136F36" w:rsidRPr="00136F36" w14:paraId="6A7334CA" w14:textId="77777777" w:rsidTr="005A6018">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6B87D1B" w14:textId="77777777" w:rsidR="00136F36" w:rsidRPr="00136F36" w:rsidRDefault="00136F36" w:rsidP="00136F36">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0EA44240"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E8E4D61"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443B664E"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5D09B3F"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EE0A2B8" w14:textId="1F7BCA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2ACF36BA" w14:textId="14250456"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负效应</w:t>
            </w:r>
          </w:p>
        </w:tc>
      </w:tr>
      <w:tr w:rsidR="00136F36" w:rsidRPr="00136F36" w14:paraId="552F9EDD" w14:textId="77777777" w:rsidTr="005A6018">
        <w:trPr>
          <w:trHeight w:val="285"/>
          <w:jc w:val="center"/>
        </w:trPr>
        <w:tc>
          <w:tcPr>
            <w:tcW w:w="1790" w:type="dxa"/>
            <w:tcBorders>
              <w:top w:val="single" w:sz="4" w:space="0" w:color="auto"/>
              <w:left w:val="nil"/>
              <w:bottom w:val="nil"/>
              <w:right w:val="nil"/>
            </w:tcBorders>
            <w:shd w:val="clear" w:color="auto" w:fill="auto"/>
            <w:noWrap/>
            <w:vAlign w:val="bottom"/>
            <w:hideMark/>
          </w:tcPr>
          <w:p w14:paraId="60BD2490" w14:textId="6B2406F8"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与假设相反结果</w:t>
            </w:r>
          </w:p>
        </w:tc>
        <w:tc>
          <w:tcPr>
            <w:tcW w:w="1080" w:type="dxa"/>
            <w:tcBorders>
              <w:top w:val="single" w:sz="4" w:space="0" w:color="auto"/>
              <w:left w:val="nil"/>
              <w:bottom w:val="nil"/>
              <w:right w:val="nil"/>
            </w:tcBorders>
            <w:shd w:val="clear" w:color="auto" w:fill="auto"/>
            <w:noWrap/>
            <w:vAlign w:val="bottom"/>
            <w:hideMark/>
          </w:tcPr>
          <w:p w14:paraId="533099D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0A8A3AF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3</w:t>
            </w:r>
          </w:p>
        </w:tc>
        <w:tc>
          <w:tcPr>
            <w:tcW w:w="1080" w:type="dxa"/>
            <w:tcBorders>
              <w:top w:val="single" w:sz="4" w:space="0" w:color="auto"/>
              <w:left w:val="nil"/>
              <w:bottom w:val="nil"/>
              <w:right w:val="nil"/>
            </w:tcBorders>
            <w:shd w:val="clear" w:color="auto" w:fill="auto"/>
            <w:noWrap/>
            <w:vAlign w:val="bottom"/>
            <w:hideMark/>
          </w:tcPr>
          <w:p w14:paraId="74053DF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bottom"/>
            <w:hideMark/>
          </w:tcPr>
          <w:p w14:paraId="08263E7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9</w:t>
            </w:r>
          </w:p>
        </w:tc>
        <w:tc>
          <w:tcPr>
            <w:tcW w:w="1080" w:type="dxa"/>
            <w:tcBorders>
              <w:top w:val="single" w:sz="4" w:space="0" w:color="auto"/>
              <w:left w:val="nil"/>
              <w:bottom w:val="nil"/>
              <w:right w:val="nil"/>
            </w:tcBorders>
            <w:shd w:val="clear" w:color="auto" w:fill="auto"/>
            <w:noWrap/>
            <w:vAlign w:val="bottom"/>
            <w:hideMark/>
          </w:tcPr>
          <w:p w14:paraId="3E361A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3C95AD8C"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4</w:t>
            </w:r>
          </w:p>
        </w:tc>
      </w:tr>
      <w:tr w:rsidR="00136F36" w:rsidRPr="00136F36" w14:paraId="73F74E07" w14:textId="77777777" w:rsidTr="005A6018">
        <w:trPr>
          <w:trHeight w:val="285"/>
          <w:jc w:val="center"/>
        </w:trPr>
        <w:tc>
          <w:tcPr>
            <w:tcW w:w="1790" w:type="dxa"/>
            <w:tcBorders>
              <w:top w:val="nil"/>
              <w:left w:val="nil"/>
              <w:bottom w:val="nil"/>
              <w:right w:val="nil"/>
            </w:tcBorders>
            <w:shd w:val="clear" w:color="auto" w:fill="auto"/>
            <w:noWrap/>
            <w:vAlign w:val="bottom"/>
            <w:hideMark/>
          </w:tcPr>
          <w:p w14:paraId="1EEE574F"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总检验数</w:t>
            </w:r>
          </w:p>
        </w:tc>
        <w:tc>
          <w:tcPr>
            <w:tcW w:w="1080" w:type="dxa"/>
            <w:tcBorders>
              <w:top w:val="nil"/>
              <w:left w:val="nil"/>
              <w:bottom w:val="nil"/>
              <w:right w:val="nil"/>
            </w:tcBorders>
            <w:shd w:val="clear" w:color="auto" w:fill="auto"/>
            <w:noWrap/>
            <w:vAlign w:val="bottom"/>
            <w:hideMark/>
          </w:tcPr>
          <w:p w14:paraId="38982F1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41526FF3"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129D8FC7"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bottom"/>
            <w:hideMark/>
          </w:tcPr>
          <w:p w14:paraId="41A1783F"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12</w:t>
            </w:r>
          </w:p>
        </w:tc>
        <w:tc>
          <w:tcPr>
            <w:tcW w:w="1080" w:type="dxa"/>
            <w:tcBorders>
              <w:top w:val="nil"/>
              <w:left w:val="nil"/>
              <w:bottom w:val="nil"/>
              <w:right w:val="nil"/>
            </w:tcBorders>
            <w:shd w:val="clear" w:color="auto" w:fill="auto"/>
            <w:noWrap/>
            <w:vAlign w:val="bottom"/>
            <w:hideMark/>
          </w:tcPr>
          <w:p w14:paraId="6A8ED024"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w:t>
            </w:r>
          </w:p>
        </w:tc>
        <w:tc>
          <w:tcPr>
            <w:tcW w:w="1080" w:type="dxa"/>
            <w:tcBorders>
              <w:top w:val="nil"/>
              <w:left w:val="nil"/>
              <w:bottom w:val="nil"/>
              <w:right w:val="nil"/>
            </w:tcBorders>
            <w:shd w:val="clear" w:color="auto" w:fill="auto"/>
            <w:noWrap/>
            <w:vAlign w:val="bottom"/>
            <w:hideMark/>
          </w:tcPr>
          <w:p w14:paraId="03D3EB52"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w:t>
            </w:r>
          </w:p>
        </w:tc>
      </w:tr>
      <w:tr w:rsidR="00136F36" w:rsidRPr="00136F36" w14:paraId="03D34A67" w14:textId="77777777" w:rsidTr="005A6018">
        <w:trPr>
          <w:trHeight w:val="300"/>
          <w:jc w:val="center"/>
        </w:trPr>
        <w:tc>
          <w:tcPr>
            <w:tcW w:w="1790" w:type="dxa"/>
            <w:tcBorders>
              <w:top w:val="nil"/>
              <w:left w:val="nil"/>
              <w:bottom w:val="single" w:sz="4" w:space="0" w:color="auto"/>
              <w:right w:val="nil"/>
            </w:tcBorders>
            <w:shd w:val="clear" w:color="auto" w:fill="auto"/>
            <w:noWrap/>
            <w:vAlign w:val="bottom"/>
            <w:hideMark/>
          </w:tcPr>
          <w:p w14:paraId="717946F2" w14:textId="77777777" w:rsidR="00136F36" w:rsidRPr="00136F36" w:rsidRDefault="00136F36" w:rsidP="00136F36">
            <w:pPr>
              <w:widowControl/>
              <w:jc w:val="left"/>
              <w:rPr>
                <w:rFonts w:ascii="宋体" w:eastAsia="宋体" w:hAnsi="宋体" w:cs="宋体"/>
                <w:color w:val="000000"/>
                <w:kern w:val="0"/>
                <w:szCs w:val="21"/>
              </w:rPr>
            </w:pPr>
            <w:r w:rsidRPr="00136F36">
              <w:rPr>
                <w:rFonts w:ascii="宋体" w:eastAsia="宋体" w:hAnsi="宋体" w:cs="宋体" w:hint="eastAsia"/>
                <w:color w:val="000000"/>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54A39B0A"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100%</w:t>
            </w:r>
          </w:p>
        </w:tc>
        <w:tc>
          <w:tcPr>
            <w:tcW w:w="1080" w:type="dxa"/>
            <w:tcBorders>
              <w:top w:val="nil"/>
              <w:left w:val="nil"/>
              <w:bottom w:val="single" w:sz="4" w:space="0" w:color="auto"/>
              <w:right w:val="nil"/>
            </w:tcBorders>
            <w:shd w:val="clear" w:color="auto" w:fill="auto"/>
            <w:noWrap/>
            <w:vAlign w:val="bottom"/>
            <w:hideMark/>
          </w:tcPr>
          <w:p w14:paraId="237FA27B"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60%</w:t>
            </w:r>
          </w:p>
        </w:tc>
        <w:tc>
          <w:tcPr>
            <w:tcW w:w="1080" w:type="dxa"/>
            <w:tcBorders>
              <w:top w:val="nil"/>
              <w:left w:val="nil"/>
              <w:bottom w:val="single" w:sz="4" w:space="0" w:color="auto"/>
              <w:right w:val="nil"/>
            </w:tcBorders>
            <w:shd w:val="clear" w:color="auto" w:fill="auto"/>
            <w:noWrap/>
            <w:vAlign w:val="bottom"/>
            <w:hideMark/>
          </w:tcPr>
          <w:p w14:paraId="728905F9"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50%</w:t>
            </w:r>
          </w:p>
        </w:tc>
        <w:tc>
          <w:tcPr>
            <w:tcW w:w="1080" w:type="dxa"/>
            <w:tcBorders>
              <w:top w:val="nil"/>
              <w:left w:val="nil"/>
              <w:bottom w:val="single" w:sz="4" w:space="0" w:color="auto"/>
              <w:right w:val="nil"/>
            </w:tcBorders>
            <w:shd w:val="clear" w:color="auto" w:fill="auto"/>
            <w:noWrap/>
            <w:vAlign w:val="bottom"/>
            <w:hideMark/>
          </w:tcPr>
          <w:p w14:paraId="0DB711A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75%</w:t>
            </w:r>
          </w:p>
        </w:tc>
        <w:tc>
          <w:tcPr>
            <w:tcW w:w="1080" w:type="dxa"/>
            <w:tcBorders>
              <w:top w:val="nil"/>
              <w:left w:val="nil"/>
              <w:bottom w:val="single" w:sz="4" w:space="0" w:color="auto"/>
              <w:right w:val="nil"/>
            </w:tcBorders>
            <w:shd w:val="clear" w:color="auto" w:fill="auto"/>
            <w:noWrap/>
            <w:vAlign w:val="bottom"/>
            <w:hideMark/>
          </w:tcPr>
          <w:p w14:paraId="432BFDD1"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71%</w:t>
            </w:r>
          </w:p>
        </w:tc>
        <w:tc>
          <w:tcPr>
            <w:tcW w:w="1080" w:type="dxa"/>
            <w:tcBorders>
              <w:top w:val="nil"/>
              <w:left w:val="nil"/>
              <w:bottom w:val="single" w:sz="4" w:space="0" w:color="auto"/>
              <w:right w:val="nil"/>
            </w:tcBorders>
            <w:shd w:val="clear" w:color="auto" w:fill="auto"/>
            <w:noWrap/>
            <w:vAlign w:val="bottom"/>
            <w:hideMark/>
          </w:tcPr>
          <w:p w14:paraId="09B51AD6" w14:textId="77777777" w:rsidR="00136F36" w:rsidRPr="00136F36" w:rsidRDefault="00136F36" w:rsidP="00136F36">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80%</w:t>
            </w:r>
          </w:p>
        </w:tc>
      </w:tr>
    </w:tbl>
    <w:p w14:paraId="4F433B26" w14:textId="34DCD9F7" w:rsidR="00720931" w:rsidRDefault="00034E8D" w:rsidP="002D181F">
      <w:pPr>
        <w:pStyle w:val="ac"/>
        <w:ind w:firstLine="420"/>
        <w:rPr>
          <w:kern w:val="0"/>
          <w:szCs w:val="24"/>
        </w:rPr>
      </w:pPr>
      <w:r>
        <w:rPr>
          <w:rFonts w:hint="eastAsia"/>
          <w:kern w:val="0"/>
          <w:szCs w:val="24"/>
        </w:rPr>
        <w:t>对于显著的结果</w:t>
      </w:r>
      <w:r w:rsidR="00DB385E">
        <w:rPr>
          <w:rFonts w:hint="eastAsia"/>
          <w:kern w:val="0"/>
          <w:szCs w:val="24"/>
        </w:rPr>
        <w:t>，拆分为周、月与假日效应以及正负日历效应进行解析</w:t>
      </w:r>
      <w:r w:rsidR="0096659F">
        <w:rPr>
          <w:rFonts w:hint="eastAsia"/>
          <w:kern w:val="0"/>
          <w:szCs w:val="24"/>
        </w:rPr>
        <w:t>。</w:t>
      </w:r>
      <w:r w:rsidR="004B6622">
        <w:rPr>
          <w:rFonts w:hint="eastAsia"/>
          <w:kern w:val="0"/>
          <w:szCs w:val="24"/>
        </w:rPr>
        <w:t>将</w:t>
      </w:r>
      <w:r w:rsidR="0096659F">
        <w:rPr>
          <w:rFonts w:hint="eastAsia"/>
          <w:kern w:val="0"/>
          <w:szCs w:val="24"/>
        </w:rPr>
        <w:t>与假设完全相反的结果</w:t>
      </w:r>
      <w:r w:rsidR="00312701">
        <w:rPr>
          <w:rFonts w:hint="eastAsia"/>
          <w:kern w:val="0"/>
          <w:szCs w:val="24"/>
        </w:rPr>
        <w:t>（即政策因素能够减弱所有日历效应）</w:t>
      </w:r>
      <w:r w:rsidR="001A28A1">
        <w:rPr>
          <w:rFonts w:hint="eastAsia"/>
          <w:kern w:val="0"/>
          <w:szCs w:val="24"/>
        </w:rPr>
        <w:t>作为研究对象</w:t>
      </w:r>
      <w:r w:rsidR="004D1456">
        <w:rPr>
          <w:rFonts w:hint="eastAsia"/>
          <w:kern w:val="0"/>
          <w:szCs w:val="24"/>
        </w:rPr>
        <w:t>：（1）</w:t>
      </w:r>
      <w:r w:rsidR="006C7038">
        <w:rPr>
          <w:rFonts w:hint="eastAsia"/>
          <w:kern w:val="0"/>
          <w:szCs w:val="24"/>
        </w:rPr>
        <w:t>政策因素</w:t>
      </w:r>
      <w:r w:rsidR="00D637DE">
        <w:rPr>
          <w:rFonts w:hint="eastAsia"/>
          <w:kern w:val="0"/>
          <w:szCs w:val="24"/>
        </w:rPr>
        <w:t>对</w:t>
      </w:r>
      <w:r w:rsidR="006C7038">
        <w:rPr>
          <w:rFonts w:hint="eastAsia"/>
          <w:kern w:val="0"/>
          <w:szCs w:val="24"/>
        </w:rPr>
        <w:t>周历效应</w:t>
      </w:r>
      <w:r w:rsidR="00C805CF">
        <w:rPr>
          <w:rFonts w:hint="eastAsia"/>
          <w:kern w:val="0"/>
          <w:szCs w:val="24"/>
        </w:rPr>
        <w:t>的影响</w:t>
      </w:r>
      <w:r w:rsidR="007C1706">
        <w:rPr>
          <w:rFonts w:hint="eastAsia"/>
          <w:kern w:val="0"/>
          <w:szCs w:val="24"/>
        </w:rPr>
        <w:t>是</w:t>
      </w:r>
      <w:r w:rsidR="00A77EE0">
        <w:rPr>
          <w:rFonts w:hint="eastAsia"/>
          <w:kern w:val="0"/>
          <w:szCs w:val="24"/>
        </w:rPr>
        <w:t>完全</w:t>
      </w:r>
      <w:r w:rsidR="007C1706">
        <w:rPr>
          <w:rFonts w:hint="eastAsia"/>
          <w:kern w:val="0"/>
          <w:szCs w:val="24"/>
        </w:rPr>
        <w:t>一致的</w:t>
      </w:r>
      <w:r w:rsidR="00C805CF">
        <w:rPr>
          <w:rFonts w:hint="eastAsia"/>
          <w:kern w:val="0"/>
          <w:szCs w:val="24"/>
        </w:rPr>
        <w:t>减弱</w:t>
      </w:r>
      <w:r w:rsidR="004D1456">
        <w:rPr>
          <w:rFonts w:hint="eastAsia"/>
          <w:kern w:val="0"/>
          <w:szCs w:val="24"/>
        </w:rPr>
        <w:t>，</w:t>
      </w:r>
      <w:r w:rsidR="000D7AC1">
        <w:rPr>
          <w:rFonts w:hint="eastAsia"/>
          <w:kern w:val="0"/>
          <w:szCs w:val="24"/>
        </w:rPr>
        <w:t>可信度较高；（2）</w:t>
      </w:r>
      <w:r w:rsidR="00540993">
        <w:rPr>
          <w:rFonts w:hint="eastAsia"/>
          <w:kern w:val="0"/>
          <w:szCs w:val="24"/>
        </w:rPr>
        <w:t>政策因素对月历与假日效应的</w:t>
      </w:r>
      <w:r w:rsidR="002970D0">
        <w:rPr>
          <w:rFonts w:hint="eastAsia"/>
          <w:kern w:val="0"/>
          <w:szCs w:val="24"/>
        </w:rPr>
        <w:t>影响</w:t>
      </w:r>
      <w:r w:rsidR="00671A09">
        <w:rPr>
          <w:rFonts w:hint="eastAsia"/>
          <w:kern w:val="0"/>
          <w:szCs w:val="24"/>
        </w:rPr>
        <w:t>中仅有半数左右</w:t>
      </w:r>
      <w:r w:rsidR="00350A08">
        <w:rPr>
          <w:rFonts w:hint="eastAsia"/>
          <w:kern w:val="0"/>
          <w:szCs w:val="24"/>
        </w:rPr>
        <w:t>是一致的</w:t>
      </w:r>
      <w:r w:rsidR="00562F84">
        <w:rPr>
          <w:rFonts w:hint="eastAsia"/>
          <w:kern w:val="0"/>
          <w:szCs w:val="24"/>
        </w:rPr>
        <w:t>，可信度低；</w:t>
      </w:r>
      <w:r w:rsidR="00AE531B">
        <w:rPr>
          <w:rFonts w:hint="eastAsia"/>
          <w:kern w:val="0"/>
          <w:szCs w:val="24"/>
        </w:rPr>
        <w:t>（3）</w:t>
      </w:r>
      <w:r w:rsidR="00D42100">
        <w:rPr>
          <w:rFonts w:hint="eastAsia"/>
          <w:kern w:val="0"/>
          <w:szCs w:val="24"/>
        </w:rPr>
        <w:t>政策因素</w:t>
      </w:r>
      <w:r w:rsidR="004C6CC4">
        <w:rPr>
          <w:rFonts w:hint="eastAsia"/>
          <w:kern w:val="0"/>
          <w:szCs w:val="24"/>
        </w:rPr>
        <w:t>减弱负日历效应的结论比政策因素减弱正日历效应的结论更加可信</w:t>
      </w:r>
      <w:r w:rsidR="00A016D0">
        <w:rPr>
          <w:rFonts w:hint="eastAsia"/>
          <w:kern w:val="0"/>
          <w:szCs w:val="24"/>
        </w:rPr>
        <w:t>。</w:t>
      </w:r>
      <w:r w:rsidR="00F74263">
        <w:rPr>
          <w:rFonts w:hint="eastAsia"/>
          <w:kern w:val="0"/>
          <w:szCs w:val="24"/>
        </w:rPr>
        <w:t>因此该部分的结论</w:t>
      </w:r>
      <w:r w:rsidR="009C6E53">
        <w:rPr>
          <w:rFonts w:hint="eastAsia"/>
          <w:kern w:val="0"/>
          <w:szCs w:val="24"/>
        </w:rPr>
        <w:t>为</w:t>
      </w:r>
      <w:r w:rsidR="00535F6D">
        <w:rPr>
          <w:rFonts w:hint="eastAsia"/>
          <w:kern w:val="0"/>
          <w:szCs w:val="24"/>
        </w:rPr>
        <w:t>，实证结果表明</w:t>
      </w:r>
      <w:r w:rsidR="00D604E3">
        <w:rPr>
          <w:rFonts w:hint="eastAsia"/>
          <w:kern w:val="0"/>
          <w:szCs w:val="24"/>
        </w:rPr>
        <w:t>政府的政策对股市影响</w:t>
      </w:r>
      <w:r w:rsidR="00FE322C">
        <w:rPr>
          <w:rFonts w:hint="eastAsia"/>
          <w:kern w:val="0"/>
          <w:szCs w:val="24"/>
        </w:rPr>
        <w:t>越大</w:t>
      </w:r>
      <w:r w:rsidR="00133429">
        <w:rPr>
          <w:rFonts w:hint="eastAsia"/>
          <w:kern w:val="0"/>
          <w:szCs w:val="24"/>
        </w:rPr>
        <w:t>，减弱</w:t>
      </w:r>
      <w:r w:rsidR="00B73BFC">
        <w:rPr>
          <w:rFonts w:hint="eastAsia"/>
          <w:kern w:val="0"/>
          <w:szCs w:val="24"/>
        </w:rPr>
        <w:t>当期</w:t>
      </w:r>
      <w:r w:rsidR="00133429">
        <w:rPr>
          <w:rFonts w:hint="eastAsia"/>
          <w:kern w:val="0"/>
          <w:szCs w:val="24"/>
        </w:rPr>
        <w:t>周历效应</w:t>
      </w:r>
      <w:r w:rsidR="009D7578">
        <w:rPr>
          <w:rFonts w:hint="eastAsia"/>
          <w:kern w:val="0"/>
          <w:szCs w:val="24"/>
        </w:rPr>
        <w:t>与负日历效应</w:t>
      </w:r>
      <w:r w:rsidR="00D77D94">
        <w:rPr>
          <w:rFonts w:hint="eastAsia"/>
          <w:kern w:val="0"/>
          <w:szCs w:val="24"/>
        </w:rPr>
        <w:t>。</w:t>
      </w:r>
    </w:p>
    <w:p w14:paraId="16073F4A" w14:textId="6B1B81FA" w:rsidR="0014459A" w:rsidRPr="00312701" w:rsidRDefault="0014459A" w:rsidP="0014459A">
      <w:pPr>
        <w:pStyle w:val="ac"/>
        <w:ind w:firstLine="420"/>
      </w:pPr>
    </w:p>
    <w:p w14:paraId="77DB92E8" w14:textId="77777777" w:rsidR="00CB65C0" w:rsidRDefault="00CB65C0">
      <w:pPr>
        <w:widowControl/>
        <w:jc w:val="left"/>
        <w:rPr>
          <w:rFonts w:ascii="宋体" w:eastAsia="宋体" w:hAnsi="宋体" w:cs="Times New Roman"/>
          <w:szCs w:val="28"/>
        </w:rPr>
      </w:pPr>
      <w:r>
        <w:br w:type="page"/>
      </w:r>
    </w:p>
    <w:p w14:paraId="729A5417"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8" w:name="_Toc3381508"/>
      <w:r>
        <w:t>结论与建议</w:t>
      </w:r>
      <w:bookmarkEnd w:id="48"/>
    </w:p>
    <w:p w14:paraId="7774267D" w14:textId="3DF57575" w:rsidR="00740685" w:rsidRDefault="00740685" w:rsidP="00740685">
      <w:pPr>
        <w:pStyle w:val="a"/>
        <w:numPr>
          <w:ilvl w:val="0"/>
          <w:numId w:val="0"/>
        </w:numPr>
        <w:jc w:val="both"/>
      </w:pPr>
    </w:p>
    <w:p w14:paraId="0CA7E0A6" w14:textId="754DA162" w:rsidR="00740685" w:rsidRDefault="00F054DA" w:rsidP="00F054DA">
      <w:pPr>
        <w:pStyle w:val="a0"/>
        <w:spacing w:before="156"/>
      </w:pPr>
      <w:bookmarkStart w:id="49" w:name="_Toc3381509"/>
      <w:r>
        <w:rPr>
          <w:rFonts w:hint="eastAsia"/>
        </w:rPr>
        <w:t>日历效应检验的结论</w:t>
      </w:r>
      <w:bookmarkEnd w:id="49"/>
    </w:p>
    <w:p w14:paraId="46902C44" w14:textId="77777777" w:rsidR="005654CA" w:rsidRDefault="0019611E" w:rsidP="000C4BED">
      <w:pPr>
        <w:pStyle w:val="ac"/>
        <w:ind w:firstLine="420"/>
      </w:pPr>
      <w:r>
        <w:rPr>
          <w:rFonts w:hint="eastAsia"/>
        </w:rPr>
        <w:t>本文利用已实现</w:t>
      </w:r>
      <w:proofErr w:type="spellStart"/>
      <w:r>
        <w:rPr>
          <w:rFonts w:hint="eastAsia"/>
        </w:rPr>
        <w:t>Garch</w:t>
      </w:r>
      <w:proofErr w:type="spellEnd"/>
      <w:r>
        <w:rPr>
          <w:rFonts w:hint="eastAsia"/>
        </w:rPr>
        <w:t>模型</w:t>
      </w:r>
      <w:r w:rsidR="00F32F69">
        <w:rPr>
          <w:rFonts w:hint="eastAsia"/>
        </w:rPr>
        <w:t>检验上证综指、创业板指与深证成指</w:t>
      </w:r>
      <w:r w:rsidR="00565A4B">
        <w:rPr>
          <w:rFonts w:hint="eastAsia"/>
        </w:rPr>
        <w:t>的周历效应</w:t>
      </w:r>
      <w:r w:rsidR="00AE042E">
        <w:rPr>
          <w:rFonts w:hint="eastAsia"/>
        </w:rPr>
        <w:t>。</w:t>
      </w:r>
    </w:p>
    <w:p w14:paraId="50F0F7E7" w14:textId="7899FFE4" w:rsidR="005654CA" w:rsidRDefault="00AE042E" w:rsidP="000C4BED">
      <w:pPr>
        <w:pStyle w:val="ac"/>
        <w:ind w:firstLine="420"/>
      </w:pPr>
      <w:proofErr w:type="gramStart"/>
      <w:r>
        <w:rPr>
          <w:rFonts w:hint="eastAsia"/>
        </w:rPr>
        <w:t>从一致</w:t>
      </w:r>
      <w:proofErr w:type="gramEnd"/>
      <w:r>
        <w:rPr>
          <w:rFonts w:hint="eastAsia"/>
        </w:rPr>
        <w:t>结果来看</w:t>
      </w:r>
      <w:r w:rsidR="008A2AC7">
        <w:rPr>
          <w:rFonts w:hint="eastAsia"/>
        </w:rPr>
        <w:t>，</w:t>
      </w:r>
      <w:r w:rsidR="00565A4B">
        <w:rPr>
          <w:rFonts w:hint="eastAsia"/>
        </w:rPr>
        <w:t>各股指的第</w:t>
      </w:r>
      <w:r w:rsidR="00DD2F53">
        <w:rPr>
          <w:rFonts w:hint="eastAsia"/>
        </w:rPr>
        <w:t>1</w:t>
      </w:r>
      <w:r w:rsidR="00565A4B">
        <w:rPr>
          <w:rFonts w:hint="eastAsia"/>
        </w:rPr>
        <w:t>时间段</w:t>
      </w:r>
      <w:r w:rsidR="00B87897">
        <w:rPr>
          <w:rFonts w:hint="eastAsia"/>
        </w:rPr>
        <w:t>均检验出了显著性的负周四效应</w:t>
      </w:r>
      <w:r w:rsidR="006365BF">
        <w:rPr>
          <w:rFonts w:hint="eastAsia"/>
        </w:rPr>
        <w:t>，说明在2</w:t>
      </w:r>
      <w:r w:rsidR="006365BF">
        <w:t>015</w:t>
      </w:r>
      <w:r w:rsidR="006365BF">
        <w:rPr>
          <w:rFonts w:hint="eastAsia"/>
        </w:rPr>
        <w:t>年</w:t>
      </w:r>
      <w:r w:rsidR="006E4B9D">
        <w:rPr>
          <w:rFonts w:hint="eastAsia"/>
        </w:rPr>
        <w:t>牛熊市交替之前的时段</w:t>
      </w:r>
      <w:r w:rsidR="00261B12">
        <w:rPr>
          <w:rFonts w:hint="eastAsia"/>
        </w:rPr>
        <w:t>周四的收益率显著低于其他星期</w:t>
      </w:r>
      <w:r w:rsidR="006740D8">
        <w:rPr>
          <w:rFonts w:hint="eastAsia"/>
        </w:rPr>
        <w:t>；上证综指与深证成指的第2时间段均检验出来正假日效应</w:t>
      </w:r>
      <w:r w:rsidR="00122247">
        <w:rPr>
          <w:rFonts w:hint="eastAsia"/>
        </w:rPr>
        <w:t>,说明在我国股市2</w:t>
      </w:r>
      <w:r w:rsidR="00122247">
        <w:t>015</w:t>
      </w:r>
      <w:r w:rsidR="00122247">
        <w:rPr>
          <w:rFonts w:hint="eastAsia"/>
        </w:rPr>
        <w:t>年牛熊交替的时间段</w:t>
      </w:r>
      <w:r w:rsidR="00876181">
        <w:rPr>
          <w:rFonts w:hint="eastAsia"/>
        </w:rPr>
        <w:t>内</w:t>
      </w:r>
      <w:r w:rsidR="006D419C">
        <w:rPr>
          <w:rFonts w:hint="eastAsia"/>
        </w:rPr>
        <w:t>某交易日前的休市时间越长</w:t>
      </w:r>
      <w:r w:rsidR="00B4217B">
        <w:rPr>
          <w:rFonts w:hint="eastAsia"/>
        </w:rPr>
        <w:t>则该交易日的收益率越高</w:t>
      </w:r>
      <w:r w:rsidR="00205CBD">
        <w:rPr>
          <w:rFonts w:hint="eastAsia"/>
        </w:rPr>
        <w:t>。</w:t>
      </w:r>
    </w:p>
    <w:p w14:paraId="1C7E984F" w14:textId="36E9E6BC" w:rsidR="000C4BED" w:rsidRDefault="0072051F" w:rsidP="000C4BED">
      <w:pPr>
        <w:pStyle w:val="ac"/>
        <w:ind w:firstLine="420"/>
      </w:pPr>
      <w:r>
        <w:rPr>
          <w:rFonts w:hint="eastAsia"/>
        </w:rPr>
        <w:t>从各类效应来看</w:t>
      </w:r>
      <w:r w:rsidR="00DA3B35">
        <w:rPr>
          <w:rFonts w:hint="eastAsia"/>
        </w:rPr>
        <w:t>，</w:t>
      </w:r>
      <w:r w:rsidR="000D4F5D">
        <w:rPr>
          <w:rFonts w:hint="eastAsia"/>
        </w:rPr>
        <w:t>月历效应中所有的二月效应均为正效应</w:t>
      </w:r>
      <w:r w:rsidR="005050B1">
        <w:rPr>
          <w:rFonts w:hint="eastAsia"/>
        </w:rPr>
        <w:t>，即</w:t>
      </w:r>
      <w:r w:rsidR="00987F06">
        <w:rPr>
          <w:rFonts w:hint="eastAsia"/>
        </w:rPr>
        <w:t>当期</w:t>
      </w:r>
      <w:r w:rsidR="00A21DAA">
        <w:rPr>
          <w:rFonts w:hint="eastAsia"/>
        </w:rPr>
        <w:t>处于二月份中的交易日收益率显著高于处于其它月份的交易日收益率</w:t>
      </w:r>
      <w:r w:rsidR="00E52034">
        <w:rPr>
          <w:rFonts w:hint="eastAsia"/>
        </w:rPr>
        <w:t>；月历效应与周历效应在发生效应变换时</w:t>
      </w:r>
      <w:r w:rsidR="00D13ADF">
        <w:rPr>
          <w:rFonts w:hint="eastAsia"/>
        </w:rPr>
        <w:t>未出现重</w:t>
      </w:r>
      <w:r w:rsidR="0080538A">
        <w:rPr>
          <w:rFonts w:hint="eastAsia"/>
        </w:rPr>
        <w:t>复</w:t>
      </w:r>
      <w:r w:rsidR="00D13ADF">
        <w:rPr>
          <w:rFonts w:hint="eastAsia"/>
        </w:rPr>
        <w:t>的情况</w:t>
      </w:r>
      <w:r w:rsidR="00084273">
        <w:rPr>
          <w:rFonts w:hint="eastAsia"/>
        </w:rPr>
        <w:t>，可以认为</w:t>
      </w:r>
      <w:r w:rsidR="00180080">
        <w:rPr>
          <w:rFonts w:hint="eastAsia"/>
        </w:rPr>
        <w:t>一定时期内的日历效应变换</w:t>
      </w:r>
      <w:proofErr w:type="gramStart"/>
      <w:r w:rsidR="008314D2">
        <w:rPr>
          <w:rFonts w:hint="eastAsia"/>
        </w:rPr>
        <w:t>与往期的</w:t>
      </w:r>
      <w:proofErr w:type="gramEnd"/>
      <w:r w:rsidR="008314D2">
        <w:rPr>
          <w:rFonts w:hint="eastAsia"/>
        </w:rPr>
        <w:t>日历效应会不相同</w:t>
      </w:r>
      <w:r w:rsidR="00613F56">
        <w:rPr>
          <w:rFonts w:hint="eastAsia"/>
        </w:rPr>
        <w:t>；假日效应显著结果较少</w:t>
      </w:r>
      <w:r w:rsidR="00AA1184">
        <w:rPr>
          <w:rFonts w:hint="eastAsia"/>
        </w:rPr>
        <w:t>且均为正效应</w:t>
      </w:r>
      <w:r w:rsidR="00804D67">
        <w:rPr>
          <w:rFonts w:hint="eastAsia"/>
        </w:rPr>
        <w:t>，共计9次检验中仅有2个时段出现显著结果</w:t>
      </w:r>
      <w:r w:rsidR="00FB53A9">
        <w:rPr>
          <w:rFonts w:hint="eastAsia"/>
        </w:rPr>
        <w:t>，</w:t>
      </w:r>
      <w:r w:rsidR="00F419F5">
        <w:rPr>
          <w:rFonts w:hint="eastAsia"/>
        </w:rPr>
        <w:t>从概率学</w:t>
      </w:r>
      <w:r w:rsidR="00C02C19">
        <w:rPr>
          <w:rFonts w:hint="eastAsia"/>
        </w:rPr>
        <w:t>角度讲</w:t>
      </w:r>
      <w:r w:rsidR="00E83A25">
        <w:rPr>
          <w:rFonts w:hint="eastAsia"/>
        </w:rPr>
        <w:t>，仅加入一个外生变量进行系数识别存在显著结果的概率自然小于加入更多外生变量的情况，如周历与月历效应</w:t>
      </w:r>
      <w:r w:rsidR="007A592C">
        <w:rPr>
          <w:rFonts w:hint="eastAsia"/>
        </w:rPr>
        <w:t>。</w:t>
      </w:r>
    </w:p>
    <w:p w14:paraId="464584B3" w14:textId="629E3F01" w:rsidR="0070400F" w:rsidRDefault="0070400F" w:rsidP="000C4BED">
      <w:pPr>
        <w:pStyle w:val="ac"/>
        <w:ind w:firstLine="420"/>
      </w:pPr>
      <w:r>
        <w:rPr>
          <w:rFonts w:hint="eastAsia"/>
        </w:rPr>
        <w:t>日历效应的检验结果说明了将各股指各时段分别检验的必要性</w:t>
      </w:r>
      <w:r w:rsidR="00F42087">
        <w:rPr>
          <w:rFonts w:hint="eastAsia"/>
        </w:rPr>
        <w:t>，各股指各时段表现出不同的日历效应</w:t>
      </w:r>
      <w:r w:rsidR="00A25542">
        <w:rPr>
          <w:rFonts w:hint="eastAsia"/>
        </w:rPr>
        <w:t>，</w:t>
      </w:r>
      <w:r w:rsidR="002A020F">
        <w:rPr>
          <w:rFonts w:hint="eastAsia"/>
        </w:rPr>
        <w:t>日历效应不断发生变化或者消失再出现</w:t>
      </w:r>
      <w:r w:rsidR="00C15147">
        <w:rPr>
          <w:rFonts w:hint="eastAsia"/>
        </w:rPr>
        <w:t>，</w:t>
      </w:r>
      <w:r w:rsidR="00A25542">
        <w:rPr>
          <w:rFonts w:hint="eastAsia"/>
        </w:rPr>
        <w:t>若将其叠加至同一区间检验</w:t>
      </w:r>
      <w:r w:rsidR="00903684">
        <w:rPr>
          <w:rFonts w:hint="eastAsia"/>
        </w:rPr>
        <w:t>，各效应之间的相互影响会导致</w:t>
      </w:r>
      <w:r w:rsidR="000E0C59">
        <w:rPr>
          <w:rFonts w:hint="eastAsia"/>
        </w:rPr>
        <w:t>无法检验到正确的日历效应</w:t>
      </w:r>
      <w:r w:rsidR="00F544E1">
        <w:rPr>
          <w:rFonts w:hint="eastAsia"/>
        </w:rPr>
        <w:t>。</w:t>
      </w:r>
    </w:p>
    <w:p w14:paraId="516A5FD4" w14:textId="4EAE1FAC" w:rsidR="00F054DA" w:rsidRDefault="00F054DA" w:rsidP="00F054DA">
      <w:pPr>
        <w:pStyle w:val="a0"/>
        <w:spacing w:before="156"/>
      </w:pPr>
      <w:bookmarkStart w:id="50" w:name="_Toc3381510"/>
      <w:r>
        <w:t>日历效应影响因素的结论</w:t>
      </w:r>
      <w:bookmarkEnd w:id="50"/>
    </w:p>
    <w:p w14:paraId="0901E739" w14:textId="40EC6EE3" w:rsidR="00612F35" w:rsidRDefault="009A2D08" w:rsidP="00612F35">
      <w:pPr>
        <w:pStyle w:val="ac"/>
        <w:ind w:firstLine="420"/>
      </w:pPr>
      <w:r>
        <w:rPr>
          <w:rFonts w:hint="eastAsia"/>
        </w:rPr>
        <w:t>风险因素</w:t>
      </w:r>
      <w:r w:rsidR="00F47B94">
        <w:rPr>
          <w:rFonts w:hint="eastAsia"/>
        </w:rPr>
        <w:t>，代表此时</w:t>
      </w:r>
      <w:r w:rsidR="00CC6491">
        <w:rPr>
          <w:rFonts w:hint="eastAsia"/>
        </w:rPr>
        <w:t>股市所蕴含的</w:t>
      </w:r>
      <w:r w:rsidR="003211EA">
        <w:rPr>
          <w:rFonts w:hint="eastAsia"/>
        </w:rPr>
        <w:t>投资风险</w:t>
      </w:r>
      <w:r w:rsidR="00DB2338">
        <w:rPr>
          <w:rFonts w:hint="eastAsia"/>
        </w:rPr>
        <w:t>，风险因素越大说明</w:t>
      </w:r>
      <w:r w:rsidR="002A3E8D">
        <w:rPr>
          <w:rFonts w:hint="eastAsia"/>
        </w:rPr>
        <w:t>投资者承担的风险大</w:t>
      </w:r>
      <w:r w:rsidR="004508BB">
        <w:rPr>
          <w:rFonts w:hint="eastAsia"/>
        </w:rPr>
        <w:t>、股市波动较大、市场难以形成一致预期</w:t>
      </w:r>
      <w:r w:rsidR="00AA1E57">
        <w:rPr>
          <w:rFonts w:hint="eastAsia"/>
        </w:rPr>
        <w:t>下的均衡</w:t>
      </w:r>
      <w:r w:rsidR="005F7D4E">
        <w:rPr>
          <w:rFonts w:hint="eastAsia"/>
        </w:rPr>
        <w:t>。检验结果表明</w:t>
      </w:r>
      <w:r w:rsidR="00E31792">
        <w:rPr>
          <w:rFonts w:hint="eastAsia"/>
        </w:rPr>
        <w:t>：</w:t>
      </w:r>
      <w:r w:rsidR="00912CBC">
        <w:rPr>
          <w:rFonts w:hint="eastAsia"/>
        </w:rPr>
        <w:t>当某一股票市场的某一时间段存在正日历效应，即</w:t>
      </w:r>
      <w:r w:rsidR="005F7F04">
        <w:rPr>
          <w:rFonts w:hint="eastAsia"/>
        </w:rPr>
        <w:t>特定时</w:t>
      </w:r>
      <w:r w:rsidR="00642453">
        <w:rPr>
          <w:rFonts w:hint="eastAsia"/>
        </w:rPr>
        <w:t>期</w:t>
      </w:r>
      <w:r w:rsidR="005F7F04">
        <w:rPr>
          <w:rFonts w:hint="eastAsia"/>
        </w:rPr>
        <w:t>的收益率显著高于其它时</w:t>
      </w:r>
      <w:r w:rsidR="00642453">
        <w:rPr>
          <w:rFonts w:hint="eastAsia"/>
        </w:rPr>
        <w:t>期</w:t>
      </w:r>
      <w:r w:rsidR="00E31792">
        <w:rPr>
          <w:rFonts w:hint="eastAsia"/>
        </w:rPr>
        <w:t>，</w:t>
      </w:r>
      <w:r w:rsidR="005326AC">
        <w:rPr>
          <w:rFonts w:hint="eastAsia"/>
        </w:rPr>
        <w:t>更大的风险因素</w:t>
      </w:r>
      <w:r w:rsidR="00CD6062">
        <w:rPr>
          <w:rFonts w:hint="eastAsia"/>
        </w:rPr>
        <w:t>会使该类显著超额的收益减少</w:t>
      </w:r>
      <w:r w:rsidR="00FD724F">
        <w:rPr>
          <w:rFonts w:hint="eastAsia"/>
        </w:rPr>
        <w:t>；当某一股票市场的某一时间段存在负日历效应</w:t>
      </w:r>
      <w:r w:rsidR="00744D67">
        <w:rPr>
          <w:rFonts w:hint="eastAsia"/>
        </w:rPr>
        <w:t>，</w:t>
      </w:r>
      <w:r w:rsidR="0020384C">
        <w:rPr>
          <w:rFonts w:hint="eastAsia"/>
        </w:rPr>
        <w:t>更大的风险因素</w:t>
      </w:r>
      <w:r w:rsidR="00E02DDD">
        <w:rPr>
          <w:rFonts w:hint="eastAsia"/>
        </w:rPr>
        <w:t>会</w:t>
      </w:r>
      <w:r w:rsidR="008F5327">
        <w:rPr>
          <w:rFonts w:hint="eastAsia"/>
        </w:rPr>
        <w:t>使该类</w:t>
      </w:r>
      <w:r w:rsidR="00C30678">
        <w:rPr>
          <w:rFonts w:hint="eastAsia"/>
        </w:rPr>
        <w:t>显著的</w:t>
      </w:r>
      <w:proofErr w:type="gramStart"/>
      <w:r w:rsidR="00C30678">
        <w:rPr>
          <w:rFonts w:hint="eastAsia"/>
        </w:rPr>
        <w:t>负收益</w:t>
      </w:r>
      <w:proofErr w:type="gramEnd"/>
      <w:r w:rsidR="00C30678">
        <w:rPr>
          <w:rFonts w:hint="eastAsia"/>
        </w:rPr>
        <w:t>增加</w:t>
      </w:r>
      <w:r w:rsidR="000919AA">
        <w:rPr>
          <w:rFonts w:hint="eastAsia"/>
        </w:rPr>
        <w:t>，导致该负日历效应更加严重</w:t>
      </w:r>
      <w:r w:rsidR="000D061D">
        <w:rPr>
          <w:rFonts w:hint="eastAsia"/>
        </w:rPr>
        <w:t>，增加市场异常波动</w:t>
      </w:r>
      <w:r w:rsidR="00A10247">
        <w:rPr>
          <w:rFonts w:hint="eastAsia"/>
        </w:rPr>
        <w:t>。</w:t>
      </w:r>
      <w:r w:rsidR="00AE2635">
        <w:rPr>
          <w:rFonts w:hint="eastAsia"/>
        </w:rPr>
        <w:t>总体而言，</w:t>
      </w:r>
      <w:r w:rsidR="00A65EE9">
        <w:rPr>
          <w:rFonts w:hint="eastAsia"/>
        </w:rPr>
        <w:t>风险因素来源于市场交易本身</w:t>
      </w:r>
      <w:r w:rsidR="004024F0">
        <w:rPr>
          <w:rFonts w:hint="eastAsia"/>
        </w:rPr>
        <w:t>，资本市场的存在必然伴随风险因素的存在</w:t>
      </w:r>
      <w:r w:rsidR="00EC4375">
        <w:rPr>
          <w:rFonts w:hint="eastAsia"/>
        </w:rPr>
        <w:t>，这一结果表明</w:t>
      </w:r>
      <w:r w:rsidR="008E0D67">
        <w:rPr>
          <w:rFonts w:hint="eastAsia"/>
        </w:rPr>
        <w:t>市场自身的调节</w:t>
      </w:r>
      <w:r w:rsidR="00B631C6">
        <w:rPr>
          <w:rFonts w:hint="eastAsia"/>
        </w:rPr>
        <w:t>机制</w:t>
      </w:r>
      <w:r w:rsidR="008E0D67">
        <w:rPr>
          <w:rFonts w:hint="eastAsia"/>
        </w:rPr>
        <w:t>可有效地</w:t>
      </w:r>
      <w:proofErr w:type="gramStart"/>
      <w:r w:rsidR="008E0D67">
        <w:rPr>
          <w:rFonts w:hint="eastAsia"/>
        </w:rPr>
        <w:t>消除正</w:t>
      </w:r>
      <w:proofErr w:type="gramEnd"/>
      <w:r w:rsidR="008E0D67">
        <w:rPr>
          <w:rFonts w:hint="eastAsia"/>
        </w:rPr>
        <w:t>日历效应</w:t>
      </w:r>
      <w:r w:rsidR="001A0981">
        <w:rPr>
          <w:rFonts w:hint="eastAsia"/>
        </w:rPr>
        <w:t>，但对于负日历效应却会使其进一步增强</w:t>
      </w:r>
      <w:r w:rsidR="00F442FF">
        <w:rPr>
          <w:rFonts w:hint="eastAsia"/>
        </w:rPr>
        <w:t>，引发更大的市场波动</w:t>
      </w:r>
      <w:r w:rsidR="006F36DC">
        <w:rPr>
          <w:rFonts w:hint="eastAsia"/>
        </w:rPr>
        <w:t>，</w:t>
      </w:r>
      <w:r w:rsidR="00DC6FFA">
        <w:rPr>
          <w:rFonts w:hint="eastAsia"/>
        </w:rPr>
        <w:t>从而投资者所承担风险进一步增大</w:t>
      </w:r>
      <w:r w:rsidR="007000A2">
        <w:rPr>
          <w:rFonts w:hint="eastAsia"/>
        </w:rPr>
        <w:t>，</w:t>
      </w:r>
      <w:r w:rsidR="001F393B">
        <w:rPr>
          <w:rFonts w:hint="eastAsia"/>
        </w:rPr>
        <w:t>引发</w:t>
      </w:r>
      <w:r w:rsidR="007000A2">
        <w:rPr>
          <w:rFonts w:hint="eastAsia"/>
        </w:rPr>
        <w:t>“滚雪球”般的</w:t>
      </w:r>
      <w:r w:rsidR="00071883">
        <w:rPr>
          <w:rFonts w:hint="eastAsia"/>
        </w:rPr>
        <w:t>系统性风险</w:t>
      </w:r>
      <w:r w:rsidR="00F53659">
        <w:rPr>
          <w:rFonts w:hint="eastAsia"/>
        </w:rPr>
        <w:t>。</w:t>
      </w:r>
    </w:p>
    <w:p w14:paraId="24D34766" w14:textId="3AE7A161" w:rsidR="00A10247" w:rsidRDefault="00A10247" w:rsidP="00612F35">
      <w:pPr>
        <w:pStyle w:val="ac"/>
        <w:ind w:firstLine="420"/>
      </w:pPr>
      <w:r>
        <w:rPr>
          <w:rFonts w:hint="eastAsia"/>
        </w:rPr>
        <w:t>投资者情绪因素</w:t>
      </w:r>
      <w:r w:rsidR="00045AFC">
        <w:rPr>
          <w:rFonts w:hint="eastAsia"/>
        </w:rPr>
        <w:t>，代表</w:t>
      </w:r>
      <w:r w:rsidR="000C6E3A">
        <w:rPr>
          <w:rFonts w:hint="eastAsia"/>
        </w:rPr>
        <w:t>众多投资者的集体乐观程度</w:t>
      </w:r>
      <w:r w:rsidR="00953DC8">
        <w:rPr>
          <w:rFonts w:hint="eastAsia"/>
        </w:rPr>
        <w:t>与短期购买意愿</w:t>
      </w:r>
      <w:r w:rsidR="002F7E66">
        <w:rPr>
          <w:rFonts w:hint="eastAsia"/>
        </w:rPr>
        <w:t>，</w:t>
      </w:r>
      <w:r w:rsidR="000606AA">
        <w:rPr>
          <w:rFonts w:hint="eastAsia"/>
        </w:rPr>
        <w:t>投资者情绪因素越大说明投资者</w:t>
      </w:r>
      <w:r w:rsidR="00A949CB">
        <w:rPr>
          <w:rFonts w:hint="eastAsia"/>
        </w:rPr>
        <w:t>处于更</w:t>
      </w:r>
      <w:r w:rsidR="00497D8E">
        <w:rPr>
          <w:rFonts w:hint="eastAsia"/>
        </w:rPr>
        <w:t>狂热的逐利情绪下</w:t>
      </w:r>
      <w:r w:rsidR="00516E68">
        <w:rPr>
          <w:rFonts w:hint="eastAsia"/>
        </w:rPr>
        <w:t>，从众行为更多</w:t>
      </w:r>
      <w:r w:rsidR="00312B31">
        <w:rPr>
          <w:rFonts w:hint="eastAsia"/>
        </w:rPr>
        <w:t>，情绪扩散更快</w:t>
      </w:r>
      <w:r w:rsidR="00FC2F80">
        <w:rPr>
          <w:rFonts w:hint="eastAsia"/>
        </w:rPr>
        <w:t>、更广</w:t>
      </w:r>
      <w:r w:rsidR="006D1883">
        <w:rPr>
          <w:rFonts w:hint="eastAsia"/>
        </w:rPr>
        <w:t>，理性的投资决策更少，短期投机行为过盛</w:t>
      </w:r>
      <w:r w:rsidR="008A1B07">
        <w:rPr>
          <w:rFonts w:hint="eastAsia"/>
        </w:rPr>
        <w:t>。检验结果表明</w:t>
      </w:r>
      <w:r w:rsidR="00A239A4">
        <w:rPr>
          <w:rFonts w:hint="eastAsia"/>
        </w:rPr>
        <w:t>，当某一股票市场的某一时间段存在正日历效应</w:t>
      </w:r>
      <w:r w:rsidR="00C12554">
        <w:rPr>
          <w:rFonts w:hint="eastAsia"/>
        </w:rPr>
        <w:t>，更大的投资者情绪因素</w:t>
      </w:r>
      <w:r w:rsidR="002F6BA0">
        <w:rPr>
          <w:rFonts w:hint="eastAsia"/>
        </w:rPr>
        <w:t>会</w:t>
      </w:r>
      <w:r w:rsidR="001021F6">
        <w:rPr>
          <w:rFonts w:hint="eastAsia"/>
        </w:rPr>
        <w:t>使该类</w:t>
      </w:r>
      <w:r w:rsidR="00985955">
        <w:rPr>
          <w:rFonts w:hint="eastAsia"/>
        </w:rPr>
        <w:t>显著超额收益</w:t>
      </w:r>
      <w:r w:rsidR="004E5113">
        <w:rPr>
          <w:rFonts w:hint="eastAsia"/>
        </w:rPr>
        <w:t>增加</w:t>
      </w:r>
      <w:r w:rsidR="00927473">
        <w:rPr>
          <w:rFonts w:hint="eastAsia"/>
        </w:rPr>
        <w:t>，</w:t>
      </w:r>
      <w:r w:rsidR="00B2545D">
        <w:rPr>
          <w:rFonts w:hint="eastAsia"/>
        </w:rPr>
        <w:t>进一步增强该时段的正日历效应</w:t>
      </w:r>
      <w:r w:rsidR="00F02FA8">
        <w:rPr>
          <w:rFonts w:hint="eastAsia"/>
        </w:rPr>
        <w:t>，引发更大的</w:t>
      </w:r>
      <w:r w:rsidR="001E4FB5">
        <w:rPr>
          <w:rFonts w:hint="eastAsia"/>
        </w:rPr>
        <w:t>异常波动</w:t>
      </w:r>
      <w:r w:rsidR="003125FC">
        <w:rPr>
          <w:rFonts w:hint="eastAsia"/>
        </w:rPr>
        <w:t>。</w:t>
      </w:r>
      <w:r w:rsidR="00684622">
        <w:rPr>
          <w:rFonts w:hint="eastAsia"/>
        </w:rPr>
        <w:t>投资者情绪</w:t>
      </w:r>
      <w:r w:rsidR="00107CDB">
        <w:rPr>
          <w:rFonts w:hint="eastAsia"/>
        </w:rPr>
        <w:t>对日历效应的影响效果与</w:t>
      </w:r>
      <w:r w:rsidR="00434100">
        <w:rPr>
          <w:rFonts w:hint="eastAsia"/>
        </w:rPr>
        <w:t>风险因素相反</w:t>
      </w:r>
      <w:r w:rsidR="009E7843">
        <w:rPr>
          <w:rFonts w:hint="eastAsia"/>
        </w:rPr>
        <w:t>，</w:t>
      </w:r>
      <w:r w:rsidR="00077B02">
        <w:rPr>
          <w:rFonts w:hint="eastAsia"/>
        </w:rPr>
        <w:t>在社交网络发达的如今，</w:t>
      </w:r>
      <w:r w:rsidR="00575523">
        <w:rPr>
          <w:rFonts w:hint="eastAsia"/>
        </w:rPr>
        <w:t>极易</w:t>
      </w:r>
      <w:r w:rsidR="00077B02">
        <w:rPr>
          <w:rFonts w:hint="eastAsia"/>
        </w:rPr>
        <w:t>在个体投资者中</w:t>
      </w:r>
      <w:r w:rsidR="00575523">
        <w:rPr>
          <w:rFonts w:hint="eastAsia"/>
        </w:rPr>
        <w:t>传导的短期投机心理</w:t>
      </w:r>
      <w:r w:rsidR="001663D5">
        <w:rPr>
          <w:rFonts w:hint="eastAsia"/>
        </w:rPr>
        <w:t>加剧</w:t>
      </w:r>
      <w:r w:rsidR="007D2E7C">
        <w:rPr>
          <w:rFonts w:hint="eastAsia"/>
        </w:rPr>
        <w:t>原本异常正收益现象</w:t>
      </w:r>
      <w:r w:rsidR="00DA2792">
        <w:rPr>
          <w:rFonts w:hint="eastAsia"/>
        </w:rPr>
        <w:t>，并倾向于消除原有的</w:t>
      </w:r>
      <w:proofErr w:type="gramStart"/>
      <w:r w:rsidR="00DA2792">
        <w:rPr>
          <w:rFonts w:hint="eastAsia"/>
        </w:rPr>
        <w:t>负收益</w:t>
      </w:r>
      <w:proofErr w:type="gramEnd"/>
      <w:r w:rsidR="00DA2792">
        <w:rPr>
          <w:rFonts w:hint="eastAsia"/>
        </w:rPr>
        <w:t>异常现象</w:t>
      </w:r>
      <w:r w:rsidR="001C11B6">
        <w:rPr>
          <w:rFonts w:hint="eastAsia"/>
        </w:rPr>
        <w:t>，</w:t>
      </w:r>
      <w:r w:rsidR="00B46D60">
        <w:rPr>
          <w:rFonts w:hint="eastAsia"/>
        </w:rPr>
        <w:t>受</w:t>
      </w:r>
      <w:r w:rsidR="001C11B6">
        <w:rPr>
          <w:rFonts w:hint="eastAsia"/>
        </w:rPr>
        <w:t>到控制的狂热投资者情绪因素会造成股价短期内的虚高</w:t>
      </w:r>
      <w:r w:rsidR="00B46D60">
        <w:rPr>
          <w:rFonts w:hint="eastAsia"/>
        </w:rPr>
        <w:t>，</w:t>
      </w:r>
      <w:r w:rsidR="00DE3E39">
        <w:rPr>
          <w:rFonts w:hint="eastAsia"/>
        </w:rPr>
        <w:t>若</w:t>
      </w:r>
      <w:r w:rsidR="001C412F">
        <w:rPr>
          <w:rFonts w:hint="eastAsia"/>
        </w:rPr>
        <w:t>该因素未受到有效控制</w:t>
      </w:r>
      <w:r w:rsidR="00A33A27">
        <w:rPr>
          <w:rFonts w:hint="eastAsia"/>
        </w:rPr>
        <w:t>，可能在长时间内生成巨大市场泡沫</w:t>
      </w:r>
      <w:r w:rsidR="002E72D2">
        <w:rPr>
          <w:rFonts w:hint="eastAsia"/>
        </w:rPr>
        <w:t>，当市场中的投资者所承担风险</w:t>
      </w:r>
      <w:r w:rsidR="00EB09C0">
        <w:rPr>
          <w:rFonts w:hint="eastAsia"/>
        </w:rPr>
        <w:t>大于狂热情绪带来的盲目乐观时</w:t>
      </w:r>
      <w:r w:rsidR="0042791D">
        <w:rPr>
          <w:rFonts w:hint="eastAsia"/>
        </w:rPr>
        <w:t>，引发如“股灾”一类的市场灾难</w:t>
      </w:r>
      <w:r w:rsidR="00C9704C">
        <w:rPr>
          <w:rFonts w:hint="eastAsia"/>
        </w:rPr>
        <w:t>。</w:t>
      </w:r>
    </w:p>
    <w:p w14:paraId="6326D091" w14:textId="28960C3A" w:rsidR="00CC02DE" w:rsidRDefault="00CC02DE" w:rsidP="00612F35">
      <w:pPr>
        <w:pStyle w:val="ac"/>
        <w:ind w:firstLine="420"/>
      </w:pPr>
      <w:r>
        <w:rPr>
          <w:rFonts w:hint="eastAsia"/>
        </w:rPr>
        <w:lastRenderedPageBreak/>
        <w:t>政策因素</w:t>
      </w:r>
      <w:r w:rsidR="00E63DBF">
        <w:rPr>
          <w:rFonts w:hint="eastAsia"/>
        </w:rPr>
        <w:t>，</w:t>
      </w:r>
      <w:r w:rsidR="000D3A99">
        <w:rPr>
          <w:rFonts w:hint="eastAsia"/>
        </w:rPr>
        <w:t>代表近期</w:t>
      </w:r>
      <w:r w:rsidR="00AD421B">
        <w:rPr>
          <w:rFonts w:hint="eastAsia"/>
        </w:rPr>
        <w:t>政府部分对资本市场的关注程度</w:t>
      </w:r>
      <w:r w:rsidR="000D428D">
        <w:rPr>
          <w:rFonts w:hint="eastAsia"/>
        </w:rPr>
        <w:t>，具体表现为资本市场相关</w:t>
      </w:r>
      <w:r w:rsidR="00D032D5">
        <w:rPr>
          <w:rFonts w:hint="eastAsia"/>
        </w:rPr>
        <w:t>的</w:t>
      </w:r>
      <w:r w:rsidR="000D428D">
        <w:rPr>
          <w:rFonts w:hint="eastAsia"/>
        </w:rPr>
        <w:t>新闻报道、政策</w:t>
      </w:r>
      <w:r w:rsidR="00584BC8">
        <w:rPr>
          <w:rFonts w:hint="eastAsia"/>
        </w:rPr>
        <w:t>的</w:t>
      </w:r>
      <w:r w:rsidR="000D428D">
        <w:rPr>
          <w:rFonts w:hint="eastAsia"/>
        </w:rPr>
        <w:t>发布与实施等</w:t>
      </w:r>
      <w:r w:rsidR="00BD00B4">
        <w:rPr>
          <w:rFonts w:hint="eastAsia"/>
        </w:rPr>
        <w:t>。我国政府部分对</w:t>
      </w:r>
      <w:r w:rsidR="008356DD">
        <w:rPr>
          <w:rFonts w:hint="eastAsia"/>
        </w:rPr>
        <w:t>资本市场的控制力</w:t>
      </w:r>
      <w:r w:rsidR="00D80A2E">
        <w:rPr>
          <w:rFonts w:hint="eastAsia"/>
        </w:rPr>
        <w:t>、影响力、执行力</w:t>
      </w:r>
      <w:r w:rsidR="008356DD">
        <w:rPr>
          <w:rFonts w:hint="eastAsia"/>
        </w:rPr>
        <w:t>较</w:t>
      </w:r>
      <w:r w:rsidR="00A6560E">
        <w:rPr>
          <w:rFonts w:hint="eastAsia"/>
        </w:rPr>
        <w:t>强</w:t>
      </w:r>
      <w:r w:rsidR="00AF7BFB">
        <w:rPr>
          <w:rFonts w:hint="eastAsia"/>
        </w:rPr>
        <w:t>，</w:t>
      </w:r>
      <w:r w:rsidR="00D94854">
        <w:rPr>
          <w:rFonts w:hint="eastAsia"/>
        </w:rPr>
        <w:t>按原有</w:t>
      </w:r>
      <w:r w:rsidR="00116326">
        <w:rPr>
          <w:rFonts w:hint="eastAsia"/>
        </w:rPr>
        <w:t>理论分析</w:t>
      </w:r>
      <w:r w:rsidR="00267CFB">
        <w:rPr>
          <w:rFonts w:hint="eastAsia"/>
        </w:rPr>
        <w:t>认为</w:t>
      </w:r>
      <w:r w:rsidR="00FA1AEE">
        <w:rPr>
          <w:rFonts w:hint="eastAsia"/>
        </w:rPr>
        <w:t>这样较大影响</w:t>
      </w:r>
      <w:r w:rsidR="00D84258">
        <w:rPr>
          <w:rFonts w:hint="eastAsia"/>
        </w:rPr>
        <w:t>的政策若频繁出现</w:t>
      </w:r>
      <w:r w:rsidR="00D41BDB">
        <w:rPr>
          <w:rFonts w:hint="eastAsia"/>
        </w:rPr>
        <w:t>，或在市场本处于异常波动中出现</w:t>
      </w:r>
      <w:r w:rsidR="006E27A0">
        <w:rPr>
          <w:rFonts w:hint="eastAsia"/>
        </w:rPr>
        <w:t>，会引发更大的异常波动</w:t>
      </w:r>
      <w:r w:rsidR="0002788E">
        <w:rPr>
          <w:rFonts w:hint="eastAsia"/>
        </w:rPr>
        <w:t>。本文的研究结果发现</w:t>
      </w:r>
      <w:r w:rsidR="00C643CD">
        <w:rPr>
          <w:rFonts w:hint="eastAsia"/>
        </w:rPr>
        <w:t>政府部分对资本市场的</w:t>
      </w:r>
      <w:r w:rsidR="008613CF">
        <w:rPr>
          <w:rFonts w:hint="eastAsia"/>
        </w:rPr>
        <w:t>关注程度高</w:t>
      </w:r>
      <w:r w:rsidR="007A3A30">
        <w:rPr>
          <w:rFonts w:hint="eastAsia"/>
        </w:rPr>
        <w:t>、</w:t>
      </w:r>
      <w:r w:rsidR="00CD49BE">
        <w:rPr>
          <w:rFonts w:hint="eastAsia"/>
        </w:rPr>
        <w:t>出台更多相关政策的情况下</w:t>
      </w:r>
      <w:r w:rsidR="00D26B42">
        <w:rPr>
          <w:rFonts w:hint="eastAsia"/>
        </w:rPr>
        <w:t>，有助于消除所有日历效应</w:t>
      </w:r>
      <w:r w:rsidR="00A24688">
        <w:rPr>
          <w:rFonts w:hint="eastAsia"/>
        </w:rPr>
        <w:t>，即政府部分的存在</w:t>
      </w:r>
      <w:r w:rsidR="00944E53">
        <w:rPr>
          <w:rFonts w:hint="eastAsia"/>
        </w:rPr>
        <w:t>引发了以下两种结果</w:t>
      </w:r>
      <w:r w:rsidR="00ED319A">
        <w:rPr>
          <w:rFonts w:hint="eastAsia"/>
        </w:rPr>
        <w:t>：</w:t>
      </w:r>
      <w:r w:rsidR="00E747D9">
        <w:rPr>
          <w:rFonts w:hint="eastAsia"/>
        </w:rPr>
        <w:t>（1）</w:t>
      </w:r>
      <w:r w:rsidR="00C2455D">
        <w:rPr>
          <w:rFonts w:hint="eastAsia"/>
        </w:rPr>
        <w:t>控制了</w:t>
      </w:r>
      <w:r w:rsidR="00ED52C2">
        <w:rPr>
          <w:rFonts w:hint="eastAsia"/>
        </w:rPr>
        <w:t>由市场本身的风险因素</w:t>
      </w:r>
      <w:r w:rsidR="00453CCD">
        <w:rPr>
          <w:rFonts w:hint="eastAsia"/>
        </w:rPr>
        <w:t>可能进一步加强的负日历效应</w:t>
      </w:r>
      <w:r w:rsidR="00E23D7C">
        <w:rPr>
          <w:rFonts w:hint="eastAsia"/>
        </w:rPr>
        <w:t>，并与</w:t>
      </w:r>
      <w:r w:rsidR="00B10634">
        <w:rPr>
          <w:rFonts w:hint="eastAsia"/>
        </w:rPr>
        <w:t>该因素</w:t>
      </w:r>
      <w:r w:rsidR="00E23D7C">
        <w:rPr>
          <w:rFonts w:hint="eastAsia"/>
        </w:rPr>
        <w:t>一道倾向于</w:t>
      </w:r>
      <w:proofErr w:type="gramStart"/>
      <w:r w:rsidR="00E23D7C">
        <w:rPr>
          <w:rFonts w:hint="eastAsia"/>
        </w:rPr>
        <w:t>消除正</w:t>
      </w:r>
      <w:proofErr w:type="gramEnd"/>
      <w:r w:rsidR="00E23D7C">
        <w:rPr>
          <w:rFonts w:hint="eastAsia"/>
        </w:rPr>
        <w:t>日历效应</w:t>
      </w:r>
      <w:r w:rsidR="006D0D4C">
        <w:rPr>
          <w:rFonts w:hint="eastAsia"/>
        </w:rPr>
        <w:t>；</w:t>
      </w:r>
      <w:r w:rsidR="00E747D9">
        <w:rPr>
          <w:rFonts w:hint="eastAsia"/>
        </w:rPr>
        <w:t>（2）</w:t>
      </w:r>
      <w:r w:rsidR="00CD2A0B">
        <w:rPr>
          <w:rFonts w:hint="eastAsia"/>
        </w:rPr>
        <w:t>控制了</w:t>
      </w:r>
      <w:r w:rsidR="00CA4AB9">
        <w:rPr>
          <w:rFonts w:hint="eastAsia"/>
        </w:rPr>
        <w:t>投资者的乐观非理性因素</w:t>
      </w:r>
      <w:r w:rsidR="00C16772">
        <w:rPr>
          <w:rFonts w:hint="eastAsia"/>
        </w:rPr>
        <w:t>可能进一步加强的正日历效应</w:t>
      </w:r>
      <w:r w:rsidR="003A4F8C">
        <w:rPr>
          <w:rFonts w:hint="eastAsia"/>
        </w:rPr>
        <w:t>，并与</w:t>
      </w:r>
      <w:r w:rsidR="00F11625">
        <w:rPr>
          <w:rFonts w:hint="eastAsia"/>
        </w:rPr>
        <w:t>该</w:t>
      </w:r>
      <w:r w:rsidR="003A4F8C">
        <w:rPr>
          <w:rFonts w:hint="eastAsia"/>
        </w:rPr>
        <w:t>因素一道倾向于消除</w:t>
      </w:r>
      <w:r w:rsidR="00013FE9">
        <w:rPr>
          <w:rFonts w:hint="eastAsia"/>
        </w:rPr>
        <w:t>日历效应</w:t>
      </w:r>
      <w:r w:rsidR="001E11D8">
        <w:rPr>
          <w:rFonts w:hint="eastAsia"/>
        </w:rPr>
        <w:t>。</w:t>
      </w:r>
      <w:r w:rsidR="00001F0E">
        <w:rPr>
          <w:rFonts w:hint="eastAsia"/>
        </w:rPr>
        <w:t>这一结果说明我国政府部门在利用“看得见的手”</w:t>
      </w:r>
      <w:r w:rsidR="00237E8F">
        <w:rPr>
          <w:rFonts w:hint="eastAsia"/>
        </w:rPr>
        <w:t>影响</w:t>
      </w:r>
      <w:r w:rsidR="00BD58ED">
        <w:rPr>
          <w:rFonts w:hint="eastAsia"/>
        </w:rPr>
        <w:t>资本市场时</w:t>
      </w:r>
      <w:r w:rsidR="00B769EF">
        <w:rPr>
          <w:rFonts w:hint="eastAsia"/>
        </w:rPr>
        <w:t>一定程度上做到</w:t>
      </w:r>
      <w:r w:rsidR="00E82DFA">
        <w:rPr>
          <w:rFonts w:hint="eastAsia"/>
        </w:rPr>
        <w:t>相互补充、相互协调</w:t>
      </w:r>
      <w:r w:rsidR="007F0845">
        <w:rPr>
          <w:rFonts w:hint="eastAsia"/>
        </w:rPr>
        <w:t>，</w:t>
      </w:r>
      <w:r w:rsidR="00756819">
        <w:rPr>
          <w:rFonts w:hint="eastAsia"/>
        </w:rPr>
        <w:t>政府部门长久以来探索政府与市场最佳组合是有成果的</w:t>
      </w:r>
      <w:r w:rsidR="007138CB">
        <w:rPr>
          <w:rFonts w:hint="eastAsia"/>
        </w:rPr>
        <w:t>。</w:t>
      </w:r>
      <w:r w:rsidR="007F0845">
        <w:rPr>
          <w:rFonts w:hint="eastAsia"/>
        </w:rPr>
        <w:t>在</w:t>
      </w:r>
      <w:r w:rsidR="00A00E93">
        <w:rPr>
          <w:rFonts w:hint="eastAsia"/>
        </w:rPr>
        <w:t>资本</w:t>
      </w:r>
      <w:r w:rsidR="00F21A5C">
        <w:rPr>
          <w:rFonts w:hint="eastAsia"/>
        </w:rPr>
        <w:t>市场处于异常波动中时</w:t>
      </w:r>
      <w:r w:rsidR="00A00E93">
        <w:rPr>
          <w:rFonts w:hint="eastAsia"/>
        </w:rPr>
        <w:t>，市场</w:t>
      </w:r>
      <w:r w:rsidR="00193D96">
        <w:rPr>
          <w:rFonts w:hint="eastAsia"/>
        </w:rPr>
        <w:t>对</w:t>
      </w:r>
      <w:r w:rsidR="00E51389">
        <w:rPr>
          <w:rFonts w:hint="eastAsia"/>
        </w:rPr>
        <w:t>政府部门出面干预</w:t>
      </w:r>
      <w:r w:rsidR="002E59A0">
        <w:rPr>
          <w:rFonts w:hint="eastAsia"/>
        </w:rPr>
        <w:t>的理解是保守</w:t>
      </w:r>
      <w:r w:rsidR="00173627">
        <w:rPr>
          <w:rFonts w:hint="eastAsia"/>
        </w:rPr>
        <w:t>、有助市场趋于稳定的</w:t>
      </w:r>
      <w:r w:rsidR="0083307F">
        <w:rPr>
          <w:rFonts w:hint="eastAsia"/>
        </w:rPr>
        <w:t>。</w:t>
      </w:r>
    </w:p>
    <w:p w14:paraId="63CAC0FA" w14:textId="694CA713" w:rsidR="00F054DA" w:rsidRDefault="00F054DA" w:rsidP="00F054DA">
      <w:pPr>
        <w:pStyle w:val="a0"/>
        <w:spacing w:before="156"/>
      </w:pPr>
      <w:bookmarkStart w:id="51" w:name="_Toc3381511"/>
      <w:r>
        <w:rPr>
          <w:rFonts w:hint="eastAsia"/>
        </w:rPr>
        <w:t>相关建议</w:t>
      </w:r>
      <w:bookmarkEnd w:id="51"/>
    </w:p>
    <w:p w14:paraId="35F7D3F2" w14:textId="61A80210" w:rsidR="006532BD" w:rsidRDefault="006532BD" w:rsidP="007F1B1A">
      <w:pPr>
        <w:pStyle w:val="ac"/>
        <w:ind w:firstLine="420"/>
      </w:pPr>
      <w:r>
        <w:rPr>
          <w:rFonts w:hint="eastAsia"/>
        </w:rPr>
        <w:t>理论研究建议：</w:t>
      </w:r>
      <w:r w:rsidR="00124A8A">
        <w:rPr>
          <w:rFonts w:hint="eastAsia"/>
        </w:rPr>
        <w:t>为解决日历效应这一市场异象作研究的无必要性</w:t>
      </w:r>
      <w:r w:rsidR="00AD1E1C">
        <w:rPr>
          <w:rFonts w:hint="eastAsia"/>
        </w:rPr>
        <w:t>；</w:t>
      </w:r>
    </w:p>
    <w:p w14:paraId="4A88EAED" w14:textId="37EDB9A6" w:rsidR="007F1B1A" w:rsidRDefault="001C54DD" w:rsidP="007F1B1A">
      <w:pPr>
        <w:pStyle w:val="ac"/>
        <w:ind w:firstLine="420"/>
      </w:pPr>
      <w:r>
        <w:rPr>
          <w:rFonts w:hint="eastAsia"/>
        </w:rPr>
        <w:t>投资建议：</w:t>
      </w:r>
      <w:r w:rsidR="004D3FFF">
        <w:rPr>
          <w:rFonts w:hint="eastAsia"/>
        </w:rPr>
        <w:t>从</w:t>
      </w:r>
      <w:r>
        <w:rPr>
          <w:rFonts w:hint="eastAsia"/>
        </w:rPr>
        <w:t>不以识别各类日历效应作为获取超额收益的策略</w:t>
      </w:r>
      <w:r w:rsidR="00E11A3B">
        <w:rPr>
          <w:rFonts w:hint="eastAsia"/>
        </w:rPr>
        <w:t>出发</w:t>
      </w:r>
      <w:r w:rsidR="004D3FFF">
        <w:rPr>
          <w:rFonts w:hint="eastAsia"/>
        </w:rPr>
        <w:t>解释；</w:t>
      </w:r>
      <w:r w:rsidR="00EC6699">
        <w:rPr>
          <w:rFonts w:hint="eastAsia"/>
        </w:rPr>
        <w:t>从个体投资者提高自身金融素养再进入资本市场</w:t>
      </w:r>
      <w:r w:rsidR="009611A8">
        <w:rPr>
          <w:rFonts w:hint="eastAsia"/>
        </w:rPr>
        <w:t>、正确树立投资目的</w:t>
      </w:r>
      <w:r w:rsidR="00EC6699">
        <w:rPr>
          <w:rFonts w:hint="eastAsia"/>
        </w:rPr>
        <w:t>出发解释</w:t>
      </w:r>
      <w:r w:rsidR="001C3211">
        <w:rPr>
          <w:rFonts w:hint="eastAsia"/>
        </w:rPr>
        <w:t>；</w:t>
      </w:r>
    </w:p>
    <w:p w14:paraId="12EFAA78" w14:textId="7F1F2968" w:rsidR="006328CF" w:rsidRDefault="006328CF" w:rsidP="007F1B1A">
      <w:pPr>
        <w:pStyle w:val="ac"/>
        <w:ind w:firstLine="420"/>
      </w:pPr>
      <w:r>
        <w:rPr>
          <w:rFonts w:hint="eastAsia"/>
        </w:rPr>
        <w:t>政策建议</w:t>
      </w:r>
      <w:r w:rsidR="00C126F1">
        <w:rPr>
          <w:rFonts w:hint="eastAsia"/>
        </w:rPr>
        <w:t>：</w:t>
      </w:r>
      <w:r w:rsidR="00B00B14">
        <w:rPr>
          <w:rFonts w:hint="eastAsia"/>
        </w:rPr>
        <w:t>投资者教育活动</w:t>
      </w:r>
      <w:r w:rsidR="008A2E44">
        <w:rPr>
          <w:rFonts w:hint="eastAsia"/>
        </w:rPr>
        <w:t>；提高资本市场准入门槛；</w:t>
      </w:r>
      <w:r w:rsidR="00E648A7">
        <w:rPr>
          <w:rFonts w:hint="eastAsia"/>
        </w:rPr>
        <w:t>手续费修改，短期内频繁交易高额手续费</w:t>
      </w:r>
      <w:r w:rsidR="00D17297">
        <w:rPr>
          <w:rFonts w:hint="eastAsia"/>
        </w:rPr>
        <w:t>；</w:t>
      </w:r>
      <w:r w:rsidR="00E276A1">
        <w:rPr>
          <w:rFonts w:hint="eastAsia"/>
        </w:rPr>
        <w:t>更广地接入媒体</w:t>
      </w:r>
      <w:r w:rsidR="002A3ADF">
        <w:rPr>
          <w:rFonts w:hint="eastAsia"/>
        </w:rPr>
        <w:t>；</w:t>
      </w:r>
    </w:p>
    <w:p w14:paraId="250F901E" w14:textId="61189D1F" w:rsidR="007F1B1A" w:rsidRDefault="007F1B1A" w:rsidP="007F1B1A">
      <w:pPr>
        <w:pStyle w:val="ac"/>
        <w:ind w:firstLine="420"/>
      </w:pPr>
    </w:p>
    <w:p w14:paraId="5B91F1B1" w14:textId="77777777" w:rsidR="00B20034" w:rsidRDefault="00B20034" w:rsidP="00B20034">
      <w:pPr>
        <w:pStyle w:val="ac"/>
        <w:ind w:firstLine="420"/>
      </w:pPr>
      <w:r>
        <w:rPr>
          <w:rFonts w:hint="eastAsia"/>
        </w:rPr>
        <w:t>（补充点记录：隐马尔科夫过程、</w:t>
      </w:r>
      <w:proofErr w:type="gramStart"/>
      <w:r>
        <w:rPr>
          <w:rFonts w:hint="eastAsia"/>
        </w:rPr>
        <w:t>拟极大</w:t>
      </w:r>
      <w:proofErr w:type="gramEnd"/>
      <w:r>
        <w:rPr>
          <w:rFonts w:hint="eastAsia"/>
        </w:rPr>
        <w:t>似然估计（最起码极大似然函数）、数据的走势图、主成分分析具体结果、描述性统计平稳性检验）</w:t>
      </w:r>
    </w:p>
    <w:p w14:paraId="0850A062" w14:textId="7C17B5CD" w:rsidR="007F1B1A" w:rsidRPr="00B20034" w:rsidRDefault="007F1B1A" w:rsidP="007F1B1A">
      <w:pPr>
        <w:pStyle w:val="ac"/>
        <w:ind w:firstLine="420"/>
      </w:pP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2" w:name="_Toc3381512"/>
      <w:r>
        <w:t>参考文献</w:t>
      </w:r>
      <w:bookmarkEnd w:id="52"/>
    </w:p>
    <w:p w14:paraId="6C11B236" w14:textId="683F47C0" w:rsidR="003C294E" w:rsidRDefault="003C294E" w:rsidP="003C294E">
      <w:pPr>
        <w:pStyle w:val="a"/>
        <w:numPr>
          <w:ilvl w:val="0"/>
          <w:numId w:val="0"/>
        </w:numPr>
        <w:jc w:val="both"/>
      </w:pPr>
    </w:p>
    <w:p w14:paraId="5EB08A0F" w14:textId="57179BF9" w:rsidR="003C294E" w:rsidRDefault="00035617" w:rsidP="00035617">
      <w:pPr>
        <w:pStyle w:val="ac"/>
        <w:ind w:firstLineChars="0" w:firstLine="0"/>
      </w:pPr>
      <w:r>
        <w:rPr>
          <w:rFonts w:hint="eastAsia"/>
        </w:rPr>
        <w:t>(</w:t>
      </w:r>
      <w:r>
        <w:t>参考文献</w:t>
      </w:r>
      <w:r>
        <w:rPr>
          <w:rFonts w:hint="eastAsia"/>
        </w:rPr>
        <w:t>)</w:t>
      </w:r>
    </w:p>
    <w:p w14:paraId="3FC77267" w14:textId="06745317" w:rsidR="00113B8D" w:rsidRDefault="00113B8D" w:rsidP="00035617">
      <w:pPr>
        <w:pStyle w:val="ac"/>
        <w:ind w:firstLineChars="0" w:firstLine="0"/>
      </w:pPr>
    </w:p>
    <w:p w14:paraId="37A443D7" w14:textId="77777777" w:rsidR="00CD12B7" w:rsidRDefault="00CD12B7" w:rsidP="00035617">
      <w:pPr>
        <w:pStyle w:val="ac"/>
        <w:ind w:firstLineChars="0" w:firstLine="0"/>
      </w:pP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3" w:name="_Toc3381513"/>
      <w:r>
        <w:rPr>
          <w:rFonts w:hint="eastAsia"/>
        </w:rPr>
        <w:t>谢辞</w:t>
      </w:r>
      <w:bookmarkEnd w:id="53"/>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1"/>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382E1B24" w:rsidR="002D3840" w:rsidRPr="006A1700" w:rsidRDefault="002D3840" w:rsidP="006A1700">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w:t>
      </w:r>
    </w:p>
    <w:sectPr w:rsidR="002D3840" w:rsidRPr="006A1700" w:rsidSect="00DB5B46">
      <w:footerReference w:type="default" r:id="rId12"/>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E127" w14:textId="77777777" w:rsidR="0095549E" w:rsidRDefault="0095549E" w:rsidP="0069650F">
      <w:r>
        <w:separator/>
      </w:r>
    </w:p>
  </w:endnote>
  <w:endnote w:type="continuationSeparator" w:id="0">
    <w:p w14:paraId="77D894AF" w14:textId="77777777" w:rsidR="0095549E" w:rsidRDefault="0095549E"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07A31D94" w:rsidR="001C761C" w:rsidRPr="00725295" w:rsidRDefault="001C761C">
        <w:pPr>
          <w:pStyle w:val="a8"/>
          <w:jc w:val="center"/>
          <w:rPr>
            <w:rFonts w:ascii="宋体" w:eastAsia="宋体" w:hAnsi="宋体"/>
          </w:rPr>
        </w:pPr>
        <w:r w:rsidRPr="00725295">
          <w:rPr>
            <w:rFonts w:ascii="宋体" w:eastAsia="宋体" w:hAnsi="宋体" w:hint="eastAsia"/>
          </w:rPr>
          <w:t>第</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sidRPr="00725295">
          <w:rPr>
            <w:rFonts w:ascii="宋体" w:eastAsia="宋体" w:hAnsi="宋体" w:hint="eastAsia"/>
          </w:rPr>
          <w:t>页 共N</w:t>
        </w:r>
        <w:r w:rsidRPr="00725295">
          <w:rPr>
            <w:rFonts w:ascii="宋体" w:eastAsia="宋体" w:hAnsi="宋体"/>
          </w:rPr>
          <w:t>页</w:t>
        </w:r>
      </w:p>
    </w:sdtContent>
  </w:sdt>
  <w:p w14:paraId="5989B47B" w14:textId="77777777" w:rsidR="001C761C" w:rsidRDefault="001C761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77777777" w:rsidR="001C761C" w:rsidRPr="00732B58" w:rsidRDefault="001C761C">
        <w:pPr>
          <w:pStyle w:val="a8"/>
          <w:jc w:val="center"/>
          <w:rPr>
            <w:rFonts w:ascii="宋体" w:eastAsia="宋体" w:hAnsi="宋体"/>
          </w:rPr>
        </w:pPr>
        <w:r w:rsidRPr="00732B58">
          <w:rPr>
            <w:rFonts w:ascii="宋体" w:eastAsia="宋体" w:hAnsi="宋体" w:hint="eastAsia"/>
          </w:rPr>
          <w:t>第</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sidRPr="00732B58">
          <w:rPr>
            <w:rFonts w:ascii="宋体" w:eastAsia="宋体" w:hAnsi="宋体" w:hint="eastAsia"/>
          </w:rPr>
          <w:t>页 共</w:t>
        </w:r>
        <w:r w:rsidRPr="00732B58">
          <w:rPr>
            <w:rFonts w:ascii="宋体" w:eastAsia="宋体" w:hAnsi="宋体"/>
          </w:rPr>
          <w:t>1页</w:t>
        </w:r>
      </w:p>
    </w:sdtContent>
  </w:sdt>
  <w:p w14:paraId="52ADD60B" w14:textId="77777777" w:rsidR="001C761C" w:rsidRPr="00732B58" w:rsidRDefault="001C761C">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9DF3F" w14:textId="77777777" w:rsidR="0095549E" w:rsidRDefault="0095549E" w:rsidP="0069650F">
      <w:r>
        <w:separator/>
      </w:r>
    </w:p>
  </w:footnote>
  <w:footnote w:type="continuationSeparator" w:id="0">
    <w:p w14:paraId="566F9CAE" w14:textId="77777777" w:rsidR="0095549E" w:rsidRDefault="0095549E" w:rsidP="0069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E2"/>
    <w:rsid w:val="00001C9C"/>
    <w:rsid w:val="00001F0E"/>
    <w:rsid w:val="00011228"/>
    <w:rsid w:val="00011877"/>
    <w:rsid w:val="00011EA4"/>
    <w:rsid w:val="00011FF3"/>
    <w:rsid w:val="00013238"/>
    <w:rsid w:val="00013FE9"/>
    <w:rsid w:val="000151FB"/>
    <w:rsid w:val="00016873"/>
    <w:rsid w:val="0002430B"/>
    <w:rsid w:val="000243FA"/>
    <w:rsid w:val="00024427"/>
    <w:rsid w:val="0002788E"/>
    <w:rsid w:val="000326B1"/>
    <w:rsid w:val="00034BBE"/>
    <w:rsid w:val="00034E8D"/>
    <w:rsid w:val="00035617"/>
    <w:rsid w:val="000361CA"/>
    <w:rsid w:val="00036DB2"/>
    <w:rsid w:val="00037606"/>
    <w:rsid w:val="00037C17"/>
    <w:rsid w:val="00042104"/>
    <w:rsid w:val="0004290F"/>
    <w:rsid w:val="00043205"/>
    <w:rsid w:val="000451F5"/>
    <w:rsid w:val="00045A28"/>
    <w:rsid w:val="00045AFC"/>
    <w:rsid w:val="00047CB9"/>
    <w:rsid w:val="00054D3F"/>
    <w:rsid w:val="00055C56"/>
    <w:rsid w:val="00055E38"/>
    <w:rsid w:val="000606AA"/>
    <w:rsid w:val="000616C3"/>
    <w:rsid w:val="00061849"/>
    <w:rsid w:val="000618EA"/>
    <w:rsid w:val="000624A5"/>
    <w:rsid w:val="00063D1B"/>
    <w:rsid w:val="00064288"/>
    <w:rsid w:val="00067AC5"/>
    <w:rsid w:val="00071883"/>
    <w:rsid w:val="00073152"/>
    <w:rsid w:val="00073A63"/>
    <w:rsid w:val="00075085"/>
    <w:rsid w:val="0007631D"/>
    <w:rsid w:val="00077B02"/>
    <w:rsid w:val="00081691"/>
    <w:rsid w:val="000816BB"/>
    <w:rsid w:val="00082967"/>
    <w:rsid w:val="00082F0A"/>
    <w:rsid w:val="0008313D"/>
    <w:rsid w:val="00084273"/>
    <w:rsid w:val="00084460"/>
    <w:rsid w:val="00086000"/>
    <w:rsid w:val="000865F8"/>
    <w:rsid w:val="00090434"/>
    <w:rsid w:val="00091469"/>
    <w:rsid w:val="000919AA"/>
    <w:rsid w:val="0009237C"/>
    <w:rsid w:val="00096877"/>
    <w:rsid w:val="000A06F3"/>
    <w:rsid w:val="000A09B0"/>
    <w:rsid w:val="000A0EA0"/>
    <w:rsid w:val="000A19C4"/>
    <w:rsid w:val="000A3650"/>
    <w:rsid w:val="000A3667"/>
    <w:rsid w:val="000A67D5"/>
    <w:rsid w:val="000A7C03"/>
    <w:rsid w:val="000B2C91"/>
    <w:rsid w:val="000B3B1B"/>
    <w:rsid w:val="000B44D4"/>
    <w:rsid w:val="000B66EC"/>
    <w:rsid w:val="000B7453"/>
    <w:rsid w:val="000B7B1E"/>
    <w:rsid w:val="000C223B"/>
    <w:rsid w:val="000C2C61"/>
    <w:rsid w:val="000C2DCE"/>
    <w:rsid w:val="000C3E9C"/>
    <w:rsid w:val="000C4BED"/>
    <w:rsid w:val="000C5670"/>
    <w:rsid w:val="000C610C"/>
    <w:rsid w:val="000C6E3A"/>
    <w:rsid w:val="000C76F1"/>
    <w:rsid w:val="000C7988"/>
    <w:rsid w:val="000D061D"/>
    <w:rsid w:val="000D178D"/>
    <w:rsid w:val="000D1BED"/>
    <w:rsid w:val="000D3A99"/>
    <w:rsid w:val="000D40FD"/>
    <w:rsid w:val="000D41A1"/>
    <w:rsid w:val="000D428D"/>
    <w:rsid w:val="000D437C"/>
    <w:rsid w:val="000D4850"/>
    <w:rsid w:val="000D4F5D"/>
    <w:rsid w:val="000D63E3"/>
    <w:rsid w:val="000D6FAA"/>
    <w:rsid w:val="000D7AC1"/>
    <w:rsid w:val="000E0C59"/>
    <w:rsid w:val="000E22B4"/>
    <w:rsid w:val="000E24D4"/>
    <w:rsid w:val="000E408A"/>
    <w:rsid w:val="000E634F"/>
    <w:rsid w:val="000E6705"/>
    <w:rsid w:val="000E71A1"/>
    <w:rsid w:val="000F138A"/>
    <w:rsid w:val="000F15F3"/>
    <w:rsid w:val="000F21E4"/>
    <w:rsid w:val="000F2654"/>
    <w:rsid w:val="000F26A0"/>
    <w:rsid w:val="000F574B"/>
    <w:rsid w:val="000F67C5"/>
    <w:rsid w:val="00100437"/>
    <w:rsid w:val="001021F6"/>
    <w:rsid w:val="00102F86"/>
    <w:rsid w:val="00103310"/>
    <w:rsid w:val="00105EC6"/>
    <w:rsid w:val="001065B9"/>
    <w:rsid w:val="00107BC2"/>
    <w:rsid w:val="00107CDB"/>
    <w:rsid w:val="001105DB"/>
    <w:rsid w:val="00112772"/>
    <w:rsid w:val="00113B8D"/>
    <w:rsid w:val="00114A05"/>
    <w:rsid w:val="00115A95"/>
    <w:rsid w:val="00116326"/>
    <w:rsid w:val="00116CD0"/>
    <w:rsid w:val="00116CE9"/>
    <w:rsid w:val="0012080A"/>
    <w:rsid w:val="00122247"/>
    <w:rsid w:val="00122A11"/>
    <w:rsid w:val="0012350D"/>
    <w:rsid w:val="001248D0"/>
    <w:rsid w:val="00124A8A"/>
    <w:rsid w:val="00125FD4"/>
    <w:rsid w:val="001272E8"/>
    <w:rsid w:val="001278E3"/>
    <w:rsid w:val="0013119A"/>
    <w:rsid w:val="00133429"/>
    <w:rsid w:val="00135835"/>
    <w:rsid w:val="00135DF6"/>
    <w:rsid w:val="001363C9"/>
    <w:rsid w:val="00136F36"/>
    <w:rsid w:val="001414FE"/>
    <w:rsid w:val="00141A25"/>
    <w:rsid w:val="00141E95"/>
    <w:rsid w:val="0014350E"/>
    <w:rsid w:val="0014459A"/>
    <w:rsid w:val="00144A50"/>
    <w:rsid w:val="00145DD5"/>
    <w:rsid w:val="00147BEF"/>
    <w:rsid w:val="001533D5"/>
    <w:rsid w:val="001553BA"/>
    <w:rsid w:val="00157761"/>
    <w:rsid w:val="001620A7"/>
    <w:rsid w:val="001624B7"/>
    <w:rsid w:val="00163E69"/>
    <w:rsid w:val="00164E13"/>
    <w:rsid w:val="00165D67"/>
    <w:rsid w:val="00165FD9"/>
    <w:rsid w:val="001663D5"/>
    <w:rsid w:val="00172156"/>
    <w:rsid w:val="0017281D"/>
    <w:rsid w:val="00172CF8"/>
    <w:rsid w:val="00173627"/>
    <w:rsid w:val="00173FFB"/>
    <w:rsid w:val="00175C18"/>
    <w:rsid w:val="001762D0"/>
    <w:rsid w:val="00177F88"/>
    <w:rsid w:val="00180080"/>
    <w:rsid w:val="00184C59"/>
    <w:rsid w:val="00185A98"/>
    <w:rsid w:val="001864EB"/>
    <w:rsid w:val="00186580"/>
    <w:rsid w:val="00186ED1"/>
    <w:rsid w:val="00191755"/>
    <w:rsid w:val="0019345E"/>
    <w:rsid w:val="00193D96"/>
    <w:rsid w:val="00194011"/>
    <w:rsid w:val="00195AA6"/>
    <w:rsid w:val="00195B86"/>
    <w:rsid w:val="0019611E"/>
    <w:rsid w:val="001A0981"/>
    <w:rsid w:val="001A0C04"/>
    <w:rsid w:val="001A1259"/>
    <w:rsid w:val="001A28A1"/>
    <w:rsid w:val="001A34E1"/>
    <w:rsid w:val="001A4A88"/>
    <w:rsid w:val="001A4AB2"/>
    <w:rsid w:val="001A55F3"/>
    <w:rsid w:val="001A7B17"/>
    <w:rsid w:val="001A7F48"/>
    <w:rsid w:val="001B024D"/>
    <w:rsid w:val="001B0C60"/>
    <w:rsid w:val="001B0E37"/>
    <w:rsid w:val="001B16D0"/>
    <w:rsid w:val="001B21CF"/>
    <w:rsid w:val="001B2B0B"/>
    <w:rsid w:val="001B4057"/>
    <w:rsid w:val="001B640B"/>
    <w:rsid w:val="001B66B4"/>
    <w:rsid w:val="001B6CEA"/>
    <w:rsid w:val="001B6E2E"/>
    <w:rsid w:val="001B796C"/>
    <w:rsid w:val="001B7A0A"/>
    <w:rsid w:val="001B7C3A"/>
    <w:rsid w:val="001C11B6"/>
    <w:rsid w:val="001C240D"/>
    <w:rsid w:val="001C2CBD"/>
    <w:rsid w:val="001C3211"/>
    <w:rsid w:val="001C3469"/>
    <w:rsid w:val="001C412F"/>
    <w:rsid w:val="001C4BBB"/>
    <w:rsid w:val="001C54DD"/>
    <w:rsid w:val="001C60D2"/>
    <w:rsid w:val="001C67E3"/>
    <w:rsid w:val="001C761C"/>
    <w:rsid w:val="001D0294"/>
    <w:rsid w:val="001D171F"/>
    <w:rsid w:val="001D28F9"/>
    <w:rsid w:val="001D2A65"/>
    <w:rsid w:val="001D3992"/>
    <w:rsid w:val="001D4A91"/>
    <w:rsid w:val="001D7380"/>
    <w:rsid w:val="001E0B65"/>
    <w:rsid w:val="001E11D8"/>
    <w:rsid w:val="001E23EC"/>
    <w:rsid w:val="001E3DAD"/>
    <w:rsid w:val="001E3FCC"/>
    <w:rsid w:val="001E4D5C"/>
    <w:rsid w:val="001E4FB5"/>
    <w:rsid w:val="001E5C4D"/>
    <w:rsid w:val="001E7B75"/>
    <w:rsid w:val="001F2015"/>
    <w:rsid w:val="001F393B"/>
    <w:rsid w:val="001F634B"/>
    <w:rsid w:val="0020084F"/>
    <w:rsid w:val="00202D29"/>
    <w:rsid w:val="00202DFC"/>
    <w:rsid w:val="00203626"/>
    <w:rsid w:val="0020384C"/>
    <w:rsid w:val="00203A93"/>
    <w:rsid w:val="00204996"/>
    <w:rsid w:val="00205651"/>
    <w:rsid w:val="002056D4"/>
    <w:rsid w:val="00205CBD"/>
    <w:rsid w:val="00205D59"/>
    <w:rsid w:val="00206133"/>
    <w:rsid w:val="00207DE9"/>
    <w:rsid w:val="0021249A"/>
    <w:rsid w:val="002129FB"/>
    <w:rsid w:val="0021346B"/>
    <w:rsid w:val="002152C7"/>
    <w:rsid w:val="002156C9"/>
    <w:rsid w:val="002161A6"/>
    <w:rsid w:val="002218CE"/>
    <w:rsid w:val="00225B31"/>
    <w:rsid w:val="00226081"/>
    <w:rsid w:val="0022645C"/>
    <w:rsid w:val="002267A3"/>
    <w:rsid w:val="00226CDE"/>
    <w:rsid w:val="00226D19"/>
    <w:rsid w:val="00227E83"/>
    <w:rsid w:val="00230BF1"/>
    <w:rsid w:val="00231EBA"/>
    <w:rsid w:val="002346E9"/>
    <w:rsid w:val="00234BB7"/>
    <w:rsid w:val="002367CF"/>
    <w:rsid w:val="00237E8F"/>
    <w:rsid w:val="00240097"/>
    <w:rsid w:val="00240C85"/>
    <w:rsid w:val="00241294"/>
    <w:rsid w:val="0024178D"/>
    <w:rsid w:val="00243755"/>
    <w:rsid w:val="00244957"/>
    <w:rsid w:val="002468D2"/>
    <w:rsid w:val="00246AF1"/>
    <w:rsid w:val="00253A73"/>
    <w:rsid w:val="00253EB5"/>
    <w:rsid w:val="00255938"/>
    <w:rsid w:val="00256502"/>
    <w:rsid w:val="00256D7C"/>
    <w:rsid w:val="00257B10"/>
    <w:rsid w:val="00257FDF"/>
    <w:rsid w:val="00261B12"/>
    <w:rsid w:val="00262545"/>
    <w:rsid w:val="002643DC"/>
    <w:rsid w:val="00267B53"/>
    <w:rsid w:val="00267CFB"/>
    <w:rsid w:val="00270FD0"/>
    <w:rsid w:val="0027312C"/>
    <w:rsid w:val="00274F2B"/>
    <w:rsid w:val="00277BC2"/>
    <w:rsid w:val="00280841"/>
    <w:rsid w:val="00280859"/>
    <w:rsid w:val="00280B68"/>
    <w:rsid w:val="00282F65"/>
    <w:rsid w:val="00283723"/>
    <w:rsid w:val="00286D5F"/>
    <w:rsid w:val="00290AD6"/>
    <w:rsid w:val="002926BB"/>
    <w:rsid w:val="002931D4"/>
    <w:rsid w:val="002939B2"/>
    <w:rsid w:val="00296459"/>
    <w:rsid w:val="002965C8"/>
    <w:rsid w:val="002966F5"/>
    <w:rsid w:val="002970D0"/>
    <w:rsid w:val="00297B11"/>
    <w:rsid w:val="00297FCB"/>
    <w:rsid w:val="002A020F"/>
    <w:rsid w:val="002A3553"/>
    <w:rsid w:val="002A3ADF"/>
    <w:rsid w:val="002A3E8D"/>
    <w:rsid w:val="002A434F"/>
    <w:rsid w:val="002A4D9D"/>
    <w:rsid w:val="002A5E6E"/>
    <w:rsid w:val="002B03C3"/>
    <w:rsid w:val="002B22B9"/>
    <w:rsid w:val="002B3808"/>
    <w:rsid w:val="002B5D73"/>
    <w:rsid w:val="002B7A21"/>
    <w:rsid w:val="002C0979"/>
    <w:rsid w:val="002C0BD4"/>
    <w:rsid w:val="002C191C"/>
    <w:rsid w:val="002D181F"/>
    <w:rsid w:val="002D3840"/>
    <w:rsid w:val="002D4751"/>
    <w:rsid w:val="002D56A6"/>
    <w:rsid w:val="002D6653"/>
    <w:rsid w:val="002E3D07"/>
    <w:rsid w:val="002E4D84"/>
    <w:rsid w:val="002E4F45"/>
    <w:rsid w:val="002E59A0"/>
    <w:rsid w:val="002E6749"/>
    <w:rsid w:val="002E72D2"/>
    <w:rsid w:val="002E7960"/>
    <w:rsid w:val="002F01A8"/>
    <w:rsid w:val="002F1EA3"/>
    <w:rsid w:val="002F289F"/>
    <w:rsid w:val="002F46AB"/>
    <w:rsid w:val="002F6A07"/>
    <w:rsid w:val="002F6BA0"/>
    <w:rsid w:val="002F7E66"/>
    <w:rsid w:val="00300383"/>
    <w:rsid w:val="0030145F"/>
    <w:rsid w:val="00302D0E"/>
    <w:rsid w:val="00304254"/>
    <w:rsid w:val="00305770"/>
    <w:rsid w:val="003060FF"/>
    <w:rsid w:val="0030772B"/>
    <w:rsid w:val="0031137F"/>
    <w:rsid w:val="003125FC"/>
    <w:rsid w:val="00312701"/>
    <w:rsid w:val="00312B31"/>
    <w:rsid w:val="00314219"/>
    <w:rsid w:val="00314C56"/>
    <w:rsid w:val="00315C7E"/>
    <w:rsid w:val="003176D6"/>
    <w:rsid w:val="00317A6D"/>
    <w:rsid w:val="003211EA"/>
    <w:rsid w:val="00323F69"/>
    <w:rsid w:val="00326052"/>
    <w:rsid w:val="00327427"/>
    <w:rsid w:val="003302F5"/>
    <w:rsid w:val="003306BD"/>
    <w:rsid w:val="00330871"/>
    <w:rsid w:val="00331970"/>
    <w:rsid w:val="003333D2"/>
    <w:rsid w:val="00333ED9"/>
    <w:rsid w:val="00340095"/>
    <w:rsid w:val="003406BA"/>
    <w:rsid w:val="00342573"/>
    <w:rsid w:val="00347A8F"/>
    <w:rsid w:val="0035057D"/>
    <w:rsid w:val="00350A08"/>
    <w:rsid w:val="003519B3"/>
    <w:rsid w:val="003558BB"/>
    <w:rsid w:val="003558F5"/>
    <w:rsid w:val="00357608"/>
    <w:rsid w:val="00357FEA"/>
    <w:rsid w:val="00360AD2"/>
    <w:rsid w:val="003620EB"/>
    <w:rsid w:val="00363030"/>
    <w:rsid w:val="003651C8"/>
    <w:rsid w:val="00366DB8"/>
    <w:rsid w:val="00367F8D"/>
    <w:rsid w:val="00370FE7"/>
    <w:rsid w:val="00373AD1"/>
    <w:rsid w:val="00373CC7"/>
    <w:rsid w:val="00376BB2"/>
    <w:rsid w:val="00376E9D"/>
    <w:rsid w:val="00377F51"/>
    <w:rsid w:val="00382117"/>
    <w:rsid w:val="00382E89"/>
    <w:rsid w:val="00383093"/>
    <w:rsid w:val="0038342B"/>
    <w:rsid w:val="0038632F"/>
    <w:rsid w:val="003864B0"/>
    <w:rsid w:val="00386D70"/>
    <w:rsid w:val="003900D3"/>
    <w:rsid w:val="00390D7B"/>
    <w:rsid w:val="00391EE5"/>
    <w:rsid w:val="00397FAE"/>
    <w:rsid w:val="003A0AD2"/>
    <w:rsid w:val="003A154E"/>
    <w:rsid w:val="003A1FAD"/>
    <w:rsid w:val="003A28C5"/>
    <w:rsid w:val="003A296A"/>
    <w:rsid w:val="003A3EFA"/>
    <w:rsid w:val="003A4932"/>
    <w:rsid w:val="003A4A43"/>
    <w:rsid w:val="003A4F8C"/>
    <w:rsid w:val="003B207A"/>
    <w:rsid w:val="003B254F"/>
    <w:rsid w:val="003B3A6B"/>
    <w:rsid w:val="003B3D39"/>
    <w:rsid w:val="003B6084"/>
    <w:rsid w:val="003B6D3C"/>
    <w:rsid w:val="003B6E75"/>
    <w:rsid w:val="003C12CD"/>
    <w:rsid w:val="003C294E"/>
    <w:rsid w:val="003C30FF"/>
    <w:rsid w:val="003C36C9"/>
    <w:rsid w:val="003C3FED"/>
    <w:rsid w:val="003C7F6C"/>
    <w:rsid w:val="003D0BDF"/>
    <w:rsid w:val="003D4158"/>
    <w:rsid w:val="003D50D6"/>
    <w:rsid w:val="003D56D8"/>
    <w:rsid w:val="003D75E0"/>
    <w:rsid w:val="003D76CC"/>
    <w:rsid w:val="003D7DC2"/>
    <w:rsid w:val="003E1AEC"/>
    <w:rsid w:val="003E5C1A"/>
    <w:rsid w:val="003E64B7"/>
    <w:rsid w:val="003E7B3D"/>
    <w:rsid w:val="003F0287"/>
    <w:rsid w:val="003F19BB"/>
    <w:rsid w:val="003F213B"/>
    <w:rsid w:val="003F2756"/>
    <w:rsid w:val="003F75D5"/>
    <w:rsid w:val="00401E09"/>
    <w:rsid w:val="004024F0"/>
    <w:rsid w:val="00404464"/>
    <w:rsid w:val="00404E86"/>
    <w:rsid w:val="00405C09"/>
    <w:rsid w:val="00405CFF"/>
    <w:rsid w:val="00407190"/>
    <w:rsid w:val="00411E92"/>
    <w:rsid w:val="00416164"/>
    <w:rsid w:val="00416302"/>
    <w:rsid w:val="004230BF"/>
    <w:rsid w:val="00423D10"/>
    <w:rsid w:val="00423F1D"/>
    <w:rsid w:val="00424571"/>
    <w:rsid w:val="00424BA0"/>
    <w:rsid w:val="00425B91"/>
    <w:rsid w:val="0042791D"/>
    <w:rsid w:val="00430F8F"/>
    <w:rsid w:val="004310AD"/>
    <w:rsid w:val="00434100"/>
    <w:rsid w:val="00434B52"/>
    <w:rsid w:val="00435CFA"/>
    <w:rsid w:val="00436815"/>
    <w:rsid w:val="004402B5"/>
    <w:rsid w:val="00440739"/>
    <w:rsid w:val="00440A5D"/>
    <w:rsid w:val="00445600"/>
    <w:rsid w:val="0044673E"/>
    <w:rsid w:val="004479B6"/>
    <w:rsid w:val="004508BB"/>
    <w:rsid w:val="00452814"/>
    <w:rsid w:val="00453CCD"/>
    <w:rsid w:val="00457158"/>
    <w:rsid w:val="00457D2A"/>
    <w:rsid w:val="004604A3"/>
    <w:rsid w:val="004612CE"/>
    <w:rsid w:val="00461D62"/>
    <w:rsid w:val="00461D6B"/>
    <w:rsid w:val="00462CA9"/>
    <w:rsid w:val="00463462"/>
    <w:rsid w:val="00463E8B"/>
    <w:rsid w:val="004648DA"/>
    <w:rsid w:val="00470C7B"/>
    <w:rsid w:val="00473B64"/>
    <w:rsid w:val="00476322"/>
    <w:rsid w:val="00477A36"/>
    <w:rsid w:val="004807B4"/>
    <w:rsid w:val="00482032"/>
    <w:rsid w:val="0048481E"/>
    <w:rsid w:val="004854AC"/>
    <w:rsid w:val="004858C9"/>
    <w:rsid w:val="00486591"/>
    <w:rsid w:val="004869D7"/>
    <w:rsid w:val="004872B5"/>
    <w:rsid w:val="00487823"/>
    <w:rsid w:val="004917CF"/>
    <w:rsid w:val="0049691F"/>
    <w:rsid w:val="00497D8E"/>
    <w:rsid w:val="004A29D3"/>
    <w:rsid w:val="004A2B83"/>
    <w:rsid w:val="004A59CF"/>
    <w:rsid w:val="004A5AD7"/>
    <w:rsid w:val="004A7B56"/>
    <w:rsid w:val="004B067C"/>
    <w:rsid w:val="004B175E"/>
    <w:rsid w:val="004B1CAC"/>
    <w:rsid w:val="004B245C"/>
    <w:rsid w:val="004B2B21"/>
    <w:rsid w:val="004B3D4D"/>
    <w:rsid w:val="004B4D64"/>
    <w:rsid w:val="004B4EEA"/>
    <w:rsid w:val="004B5323"/>
    <w:rsid w:val="004B6542"/>
    <w:rsid w:val="004B6622"/>
    <w:rsid w:val="004B77F1"/>
    <w:rsid w:val="004C3273"/>
    <w:rsid w:val="004C41D2"/>
    <w:rsid w:val="004C4910"/>
    <w:rsid w:val="004C500B"/>
    <w:rsid w:val="004C6CC4"/>
    <w:rsid w:val="004C7205"/>
    <w:rsid w:val="004D11D6"/>
    <w:rsid w:val="004D1456"/>
    <w:rsid w:val="004D3B2A"/>
    <w:rsid w:val="004D3FFF"/>
    <w:rsid w:val="004D6B85"/>
    <w:rsid w:val="004E0332"/>
    <w:rsid w:val="004E0DBD"/>
    <w:rsid w:val="004E1171"/>
    <w:rsid w:val="004E12E8"/>
    <w:rsid w:val="004E283E"/>
    <w:rsid w:val="004E3526"/>
    <w:rsid w:val="004E5113"/>
    <w:rsid w:val="004F3AD3"/>
    <w:rsid w:val="004F4E65"/>
    <w:rsid w:val="00500C6E"/>
    <w:rsid w:val="00501D89"/>
    <w:rsid w:val="005022F5"/>
    <w:rsid w:val="0050275F"/>
    <w:rsid w:val="00503E15"/>
    <w:rsid w:val="00503FEE"/>
    <w:rsid w:val="00504239"/>
    <w:rsid w:val="005050B1"/>
    <w:rsid w:val="00507991"/>
    <w:rsid w:val="00507A15"/>
    <w:rsid w:val="00507FB5"/>
    <w:rsid w:val="005126D4"/>
    <w:rsid w:val="005128D4"/>
    <w:rsid w:val="0051473A"/>
    <w:rsid w:val="0051553A"/>
    <w:rsid w:val="00516811"/>
    <w:rsid w:val="00516E68"/>
    <w:rsid w:val="00517A70"/>
    <w:rsid w:val="00517EF5"/>
    <w:rsid w:val="00521A4A"/>
    <w:rsid w:val="005242E1"/>
    <w:rsid w:val="00525FD0"/>
    <w:rsid w:val="00530B3D"/>
    <w:rsid w:val="005326AC"/>
    <w:rsid w:val="005332BD"/>
    <w:rsid w:val="005333D5"/>
    <w:rsid w:val="0053424B"/>
    <w:rsid w:val="00535F6D"/>
    <w:rsid w:val="00536625"/>
    <w:rsid w:val="00540895"/>
    <w:rsid w:val="00540993"/>
    <w:rsid w:val="00541644"/>
    <w:rsid w:val="0054339A"/>
    <w:rsid w:val="0054391C"/>
    <w:rsid w:val="00543C2A"/>
    <w:rsid w:val="0054423D"/>
    <w:rsid w:val="0054464F"/>
    <w:rsid w:val="00545F1C"/>
    <w:rsid w:val="005463A6"/>
    <w:rsid w:val="00546A09"/>
    <w:rsid w:val="00547011"/>
    <w:rsid w:val="00547729"/>
    <w:rsid w:val="00551926"/>
    <w:rsid w:val="00554727"/>
    <w:rsid w:val="00554CC1"/>
    <w:rsid w:val="00562F84"/>
    <w:rsid w:val="00563101"/>
    <w:rsid w:val="005638A1"/>
    <w:rsid w:val="0056420B"/>
    <w:rsid w:val="00564446"/>
    <w:rsid w:val="00564DA7"/>
    <w:rsid w:val="005654CA"/>
    <w:rsid w:val="005659EA"/>
    <w:rsid w:val="00565A4B"/>
    <w:rsid w:val="0057117B"/>
    <w:rsid w:val="005729ED"/>
    <w:rsid w:val="00575523"/>
    <w:rsid w:val="00575B79"/>
    <w:rsid w:val="00577A80"/>
    <w:rsid w:val="00577B43"/>
    <w:rsid w:val="00581111"/>
    <w:rsid w:val="00581A7D"/>
    <w:rsid w:val="00584BC8"/>
    <w:rsid w:val="00585B35"/>
    <w:rsid w:val="00586570"/>
    <w:rsid w:val="005871AD"/>
    <w:rsid w:val="00590865"/>
    <w:rsid w:val="00591302"/>
    <w:rsid w:val="00594B8F"/>
    <w:rsid w:val="005A02FB"/>
    <w:rsid w:val="005A54E5"/>
    <w:rsid w:val="005A5A75"/>
    <w:rsid w:val="005A5F40"/>
    <w:rsid w:val="005A6018"/>
    <w:rsid w:val="005A611E"/>
    <w:rsid w:val="005A6366"/>
    <w:rsid w:val="005A6C47"/>
    <w:rsid w:val="005A77B4"/>
    <w:rsid w:val="005B0BBB"/>
    <w:rsid w:val="005B279E"/>
    <w:rsid w:val="005B5E9C"/>
    <w:rsid w:val="005B7428"/>
    <w:rsid w:val="005C0A0C"/>
    <w:rsid w:val="005C24FF"/>
    <w:rsid w:val="005C2546"/>
    <w:rsid w:val="005C2D6D"/>
    <w:rsid w:val="005C2EF1"/>
    <w:rsid w:val="005C5C25"/>
    <w:rsid w:val="005C761B"/>
    <w:rsid w:val="005C7919"/>
    <w:rsid w:val="005D1D74"/>
    <w:rsid w:val="005D528F"/>
    <w:rsid w:val="005D5674"/>
    <w:rsid w:val="005D5D02"/>
    <w:rsid w:val="005E02C5"/>
    <w:rsid w:val="005E0C85"/>
    <w:rsid w:val="005E15E0"/>
    <w:rsid w:val="005E17B1"/>
    <w:rsid w:val="005E17E0"/>
    <w:rsid w:val="005E3182"/>
    <w:rsid w:val="005F3950"/>
    <w:rsid w:val="005F4BFC"/>
    <w:rsid w:val="005F7778"/>
    <w:rsid w:val="005F7D4E"/>
    <w:rsid w:val="005F7F04"/>
    <w:rsid w:val="00601F26"/>
    <w:rsid w:val="00604357"/>
    <w:rsid w:val="006045FF"/>
    <w:rsid w:val="00604EC5"/>
    <w:rsid w:val="006072B0"/>
    <w:rsid w:val="00607A44"/>
    <w:rsid w:val="00607D8A"/>
    <w:rsid w:val="00610653"/>
    <w:rsid w:val="00611331"/>
    <w:rsid w:val="00612F35"/>
    <w:rsid w:val="006138B3"/>
    <w:rsid w:val="00613A49"/>
    <w:rsid w:val="00613F56"/>
    <w:rsid w:val="00614A54"/>
    <w:rsid w:val="00617187"/>
    <w:rsid w:val="00617453"/>
    <w:rsid w:val="00620CE5"/>
    <w:rsid w:val="006210A3"/>
    <w:rsid w:val="0062179D"/>
    <w:rsid w:val="006219E4"/>
    <w:rsid w:val="0062540F"/>
    <w:rsid w:val="00626460"/>
    <w:rsid w:val="00631BCB"/>
    <w:rsid w:val="006328CF"/>
    <w:rsid w:val="00632FB1"/>
    <w:rsid w:val="006351CD"/>
    <w:rsid w:val="00635C36"/>
    <w:rsid w:val="006365BF"/>
    <w:rsid w:val="00642453"/>
    <w:rsid w:val="00644260"/>
    <w:rsid w:val="00646D25"/>
    <w:rsid w:val="00647658"/>
    <w:rsid w:val="00647CBF"/>
    <w:rsid w:val="0065041F"/>
    <w:rsid w:val="006507D8"/>
    <w:rsid w:val="00650860"/>
    <w:rsid w:val="00651E7B"/>
    <w:rsid w:val="006532BD"/>
    <w:rsid w:val="00653581"/>
    <w:rsid w:val="006536B8"/>
    <w:rsid w:val="006610D2"/>
    <w:rsid w:val="006634E1"/>
    <w:rsid w:val="006662A5"/>
    <w:rsid w:val="00667770"/>
    <w:rsid w:val="00671A09"/>
    <w:rsid w:val="00673564"/>
    <w:rsid w:val="00673E36"/>
    <w:rsid w:val="006740D8"/>
    <w:rsid w:val="006746C1"/>
    <w:rsid w:val="00675B63"/>
    <w:rsid w:val="00677A6F"/>
    <w:rsid w:val="006810BE"/>
    <w:rsid w:val="00681E9F"/>
    <w:rsid w:val="00683631"/>
    <w:rsid w:val="00683F1E"/>
    <w:rsid w:val="00684622"/>
    <w:rsid w:val="00693279"/>
    <w:rsid w:val="00694156"/>
    <w:rsid w:val="00694AAB"/>
    <w:rsid w:val="006951B9"/>
    <w:rsid w:val="0069650F"/>
    <w:rsid w:val="006A075F"/>
    <w:rsid w:val="006A0A2B"/>
    <w:rsid w:val="006A0A69"/>
    <w:rsid w:val="006A1700"/>
    <w:rsid w:val="006A19AB"/>
    <w:rsid w:val="006A460E"/>
    <w:rsid w:val="006B1718"/>
    <w:rsid w:val="006B1A78"/>
    <w:rsid w:val="006B4294"/>
    <w:rsid w:val="006B4950"/>
    <w:rsid w:val="006B5EDC"/>
    <w:rsid w:val="006C02D1"/>
    <w:rsid w:val="006C02E9"/>
    <w:rsid w:val="006C0937"/>
    <w:rsid w:val="006C17E9"/>
    <w:rsid w:val="006C38AB"/>
    <w:rsid w:val="006C7038"/>
    <w:rsid w:val="006C7F14"/>
    <w:rsid w:val="006D0D4C"/>
    <w:rsid w:val="006D15E6"/>
    <w:rsid w:val="006D1883"/>
    <w:rsid w:val="006D2A6E"/>
    <w:rsid w:val="006D419C"/>
    <w:rsid w:val="006D7398"/>
    <w:rsid w:val="006E198B"/>
    <w:rsid w:val="006E27A0"/>
    <w:rsid w:val="006E3A05"/>
    <w:rsid w:val="006E48AE"/>
    <w:rsid w:val="006E4B9D"/>
    <w:rsid w:val="006E63D7"/>
    <w:rsid w:val="006F15F9"/>
    <w:rsid w:val="006F36DC"/>
    <w:rsid w:val="006F50DE"/>
    <w:rsid w:val="006F7E5D"/>
    <w:rsid w:val="006F7ECF"/>
    <w:rsid w:val="0070004A"/>
    <w:rsid w:val="007000A2"/>
    <w:rsid w:val="00702AA8"/>
    <w:rsid w:val="0070400F"/>
    <w:rsid w:val="007040E6"/>
    <w:rsid w:val="0070716C"/>
    <w:rsid w:val="00707782"/>
    <w:rsid w:val="0071007A"/>
    <w:rsid w:val="007138CB"/>
    <w:rsid w:val="00713A6A"/>
    <w:rsid w:val="007168C6"/>
    <w:rsid w:val="0072051F"/>
    <w:rsid w:val="007207D0"/>
    <w:rsid w:val="00720931"/>
    <w:rsid w:val="00720FF3"/>
    <w:rsid w:val="0072142E"/>
    <w:rsid w:val="00721953"/>
    <w:rsid w:val="007230D0"/>
    <w:rsid w:val="007236D7"/>
    <w:rsid w:val="00725295"/>
    <w:rsid w:val="00730CDB"/>
    <w:rsid w:val="007311CF"/>
    <w:rsid w:val="00731612"/>
    <w:rsid w:val="00731BA8"/>
    <w:rsid w:val="00731EB2"/>
    <w:rsid w:val="00732B58"/>
    <w:rsid w:val="00733399"/>
    <w:rsid w:val="00733583"/>
    <w:rsid w:val="00740685"/>
    <w:rsid w:val="00740FBC"/>
    <w:rsid w:val="0074188E"/>
    <w:rsid w:val="007418B1"/>
    <w:rsid w:val="00743063"/>
    <w:rsid w:val="00743DAF"/>
    <w:rsid w:val="00744A80"/>
    <w:rsid w:val="00744D67"/>
    <w:rsid w:val="00745199"/>
    <w:rsid w:val="0074579E"/>
    <w:rsid w:val="00745E4D"/>
    <w:rsid w:val="00751CEF"/>
    <w:rsid w:val="007536E6"/>
    <w:rsid w:val="00754D33"/>
    <w:rsid w:val="00756819"/>
    <w:rsid w:val="00756BCA"/>
    <w:rsid w:val="007571FA"/>
    <w:rsid w:val="007609C6"/>
    <w:rsid w:val="007622FE"/>
    <w:rsid w:val="0076252C"/>
    <w:rsid w:val="00763E72"/>
    <w:rsid w:val="00763F18"/>
    <w:rsid w:val="00764D27"/>
    <w:rsid w:val="00765266"/>
    <w:rsid w:val="0077013F"/>
    <w:rsid w:val="00771202"/>
    <w:rsid w:val="00772776"/>
    <w:rsid w:val="00772A61"/>
    <w:rsid w:val="007738BE"/>
    <w:rsid w:val="00782CC0"/>
    <w:rsid w:val="00782D52"/>
    <w:rsid w:val="00783E8D"/>
    <w:rsid w:val="007848E1"/>
    <w:rsid w:val="00785C69"/>
    <w:rsid w:val="00785DBB"/>
    <w:rsid w:val="00787C12"/>
    <w:rsid w:val="00787F19"/>
    <w:rsid w:val="0079042F"/>
    <w:rsid w:val="0079390F"/>
    <w:rsid w:val="00795D5A"/>
    <w:rsid w:val="0079683A"/>
    <w:rsid w:val="00797D0D"/>
    <w:rsid w:val="007A00EC"/>
    <w:rsid w:val="007A053C"/>
    <w:rsid w:val="007A09A7"/>
    <w:rsid w:val="007A0A25"/>
    <w:rsid w:val="007A1661"/>
    <w:rsid w:val="007A1CE8"/>
    <w:rsid w:val="007A23BB"/>
    <w:rsid w:val="007A3A30"/>
    <w:rsid w:val="007A4EB7"/>
    <w:rsid w:val="007A592C"/>
    <w:rsid w:val="007A614B"/>
    <w:rsid w:val="007B1137"/>
    <w:rsid w:val="007B1B51"/>
    <w:rsid w:val="007B4DE2"/>
    <w:rsid w:val="007B5AFF"/>
    <w:rsid w:val="007C0F29"/>
    <w:rsid w:val="007C1706"/>
    <w:rsid w:val="007C1802"/>
    <w:rsid w:val="007C1D94"/>
    <w:rsid w:val="007C3636"/>
    <w:rsid w:val="007C514A"/>
    <w:rsid w:val="007C54C0"/>
    <w:rsid w:val="007C700A"/>
    <w:rsid w:val="007D219D"/>
    <w:rsid w:val="007D2E7C"/>
    <w:rsid w:val="007D30DF"/>
    <w:rsid w:val="007D3DD6"/>
    <w:rsid w:val="007D58B7"/>
    <w:rsid w:val="007D65F4"/>
    <w:rsid w:val="007D6CD6"/>
    <w:rsid w:val="007E0D43"/>
    <w:rsid w:val="007E354E"/>
    <w:rsid w:val="007E3668"/>
    <w:rsid w:val="007E425C"/>
    <w:rsid w:val="007E5BA4"/>
    <w:rsid w:val="007E7AAA"/>
    <w:rsid w:val="007F0845"/>
    <w:rsid w:val="007F16D9"/>
    <w:rsid w:val="007F1829"/>
    <w:rsid w:val="007F1997"/>
    <w:rsid w:val="007F1B1A"/>
    <w:rsid w:val="007F2A96"/>
    <w:rsid w:val="007F52F0"/>
    <w:rsid w:val="007F5569"/>
    <w:rsid w:val="007F57E0"/>
    <w:rsid w:val="007F6568"/>
    <w:rsid w:val="007F6CA6"/>
    <w:rsid w:val="007F75B8"/>
    <w:rsid w:val="007F7AB2"/>
    <w:rsid w:val="007F7C20"/>
    <w:rsid w:val="008004A5"/>
    <w:rsid w:val="008020B2"/>
    <w:rsid w:val="008021E9"/>
    <w:rsid w:val="0080240C"/>
    <w:rsid w:val="00802D26"/>
    <w:rsid w:val="00803B67"/>
    <w:rsid w:val="0080484B"/>
    <w:rsid w:val="00804D67"/>
    <w:rsid w:val="0080538A"/>
    <w:rsid w:val="008103D9"/>
    <w:rsid w:val="00811208"/>
    <w:rsid w:val="008112A5"/>
    <w:rsid w:val="008128D4"/>
    <w:rsid w:val="00813661"/>
    <w:rsid w:val="00816DD6"/>
    <w:rsid w:val="00820D33"/>
    <w:rsid w:val="0082235B"/>
    <w:rsid w:val="0082380A"/>
    <w:rsid w:val="00823CF4"/>
    <w:rsid w:val="00824ADD"/>
    <w:rsid w:val="00825E1F"/>
    <w:rsid w:val="00830FAF"/>
    <w:rsid w:val="008314D2"/>
    <w:rsid w:val="0083307F"/>
    <w:rsid w:val="0083316C"/>
    <w:rsid w:val="00833E59"/>
    <w:rsid w:val="00834F27"/>
    <w:rsid w:val="008356DD"/>
    <w:rsid w:val="00836C4E"/>
    <w:rsid w:val="008372BD"/>
    <w:rsid w:val="00837454"/>
    <w:rsid w:val="008377AB"/>
    <w:rsid w:val="008412D5"/>
    <w:rsid w:val="00845789"/>
    <w:rsid w:val="00845F94"/>
    <w:rsid w:val="008469EB"/>
    <w:rsid w:val="00847EF5"/>
    <w:rsid w:val="00854071"/>
    <w:rsid w:val="00855668"/>
    <w:rsid w:val="008560B2"/>
    <w:rsid w:val="008574A9"/>
    <w:rsid w:val="008604D2"/>
    <w:rsid w:val="008613CF"/>
    <w:rsid w:val="00861BE9"/>
    <w:rsid w:val="0086205C"/>
    <w:rsid w:val="0086378B"/>
    <w:rsid w:val="00864D40"/>
    <w:rsid w:val="00865C0F"/>
    <w:rsid w:val="00870888"/>
    <w:rsid w:val="00870F8E"/>
    <w:rsid w:val="00874736"/>
    <w:rsid w:val="00876181"/>
    <w:rsid w:val="00883CB9"/>
    <w:rsid w:val="00886248"/>
    <w:rsid w:val="008869DF"/>
    <w:rsid w:val="0088724D"/>
    <w:rsid w:val="00887CB6"/>
    <w:rsid w:val="00891248"/>
    <w:rsid w:val="00893535"/>
    <w:rsid w:val="00893691"/>
    <w:rsid w:val="00896D32"/>
    <w:rsid w:val="008A1029"/>
    <w:rsid w:val="008A1B07"/>
    <w:rsid w:val="008A2AC7"/>
    <w:rsid w:val="008A2E44"/>
    <w:rsid w:val="008A3E9E"/>
    <w:rsid w:val="008A4C5F"/>
    <w:rsid w:val="008A65FB"/>
    <w:rsid w:val="008A6E31"/>
    <w:rsid w:val="008B082D"/>
    <w:rsid w:val="008B0FCF"/>
    <w:rsid w:val="008B4034"/>
    <w:rsid w:val="008B42D4"/>
    <w:rsid w:val="008B5157"/>
    <w:rsid w:val="008B7CC9"/>
    <w:rsid w:val="008C0398"/>
    <w:rsid w:val="008C0815"/>
    <w:rsid w:val="008C2FFA"/>
    <w:rsid w:val="008C3DD6"/>
    <w:rsid w:val="008C4996"/>
    <w:rsid w:val="008C4E06"/>
    <w:rsid w:val="008C558E"/>
    <w:rsid w:val="008C7267"/>
    <w:rsid w:val="008D0CCB"/>
    <w:rsid w:val="008D0EC0"/>
    <w:rsid w:val="008D1CD0"/>
    <w:rsid w:val="008D24C3"/>
    <w:rsid w:val="008D27CD"/>
    <w:rsid w:val="008D299D"/>
    <w:rsid w:val="008D325A"/>
    <w:rsid w:val="008D3380"/>
    <w:rsid w:val="008D3A63"/>
    <w:rsid w:val="008D4E74"/>
    <w:rsid w:val="008D636D"/>
    <w:rsid w:val="008D67EB"/>
    <w:rsid w:val="008E0059"/>
    <w:rsid w:val="008E0D67"/>
    <w:rsid w:val="008E1D54"/>
    <w:rsid w:val="008E227D"/>
    <w:rsid w:val="008E37A2"/>
    <w:rsid w:val="008E3BCC"/>
    <w:rsid w:val="008E468F"/>
    <w:rsid w:val="008E63B1"/>
    <w:rsid w:val="008E6C6D"/>
    <w:rsid w:val="008E78D1"/>
    <w:rsid w:val="008F1BB6"/>
    <w:rsid w:val="008F1E48"/>
    <w:rsid w:val="008F40E3"/>
    <w:rsid w:val="008F4629"/>
    <w:rsid w:val="008F5327"/>
    <w:rsid w:val="008F7D6E"/>
    <w:rsid w:val="008F7F4C"/>
    <w:rsid w:val="009011C9"/>
    <w:rsid w:val="009023A7"/>
    <w:rsid w:val="009034A0"/>
    <w:rsid w:val="00903684"/>
    <w:rsid w:val="0090539E"/>
    <w:rsid w:val="009127F8"/>
    <w:rsid w:val="00912CBC"/>
    <w:rsid w:val="009162C2"/>
    <w:rsid w:val="0092073C"/>
    <w:rsid w:val="00921AC0"/>
    <w:rsid w:val="00921B88"/>
    <w:rsid w:val="00921EA6"/>
    <w:rsid w:val="00922B97"/>
    <w:rsid w:val="00922E5F"/>
    <w:rsid w:val="009246B8"/>
    <w:rsid w:val="00924BCD"/>
    <w:rsid w:val="00926689"/>
    <w:rsid w:val="00927473"/>
    <w:rsid w:val="00930765"/>
    <w:rsid w:val="00932296"/>
    <w:rsid w:val="00933B93"/>
    <w:rsid w:val="00936D36"/>
    <w:rsid w:val="009413EB"/>
    <w:rsid w:val="00942B70"/>
    <w:rsid w:val="00944E53"/>
    <w:rsid w:val="009475B0"/>
    <w:rsid w:val="00947F14"/>
    <w:rsid w:val="00950801"/>
    <w:rsid w:val="009533C3"/>
    <w:rsid w:val="00953DC8"/>
    <w:rsid w:val="00954067"/>
    <w:rsid w:val="00954400"/>
    <w:rsid w:val="0095549E"/>
    <w:rsid w:val="00957481"/>
    <w:rsid w:val="00957A4B"/>
    <w:rsid w:val="00957E27"/>
    <w:rsid w:val="00960F41"/>
    <w:rsid w:val="009611A8"/>
    <w:rsid w:val="00961F1E"/>
    <w:rsid w:val="00962FDB"/>
    <w:rsid w:val="009630CD"/>
    <w:rsid w:val="00963CB8"/>
    <w:rsid w:val="00965E03"/>
    <w:rsid w:val="0096659F"/>
    <w:rsid w:val="00966BD7"/>
    <w:rsid w:val="00967B6A"/>
    <w:rsid w:val="00971142"/>
    <w:rsid w:val="00973E1E"/>
    <w:rsid w:val="009741BC"/>
    <w:rsid w:val="00975F32"/>
    <w:rsid w:val="009774DF"/>
    <w:rsid w:val="0098068B"/>
    <w:rsid w:val="009808CD"/>
    <w:rsid w:val="00981C39"/>
    <w:rsid w:val="00983020"/>
    <w:rsid w:val="00983B91"/>
    <w:rsid w:val="0098483E"/>
    <w:rsid w:val="00985955"/>
    <w:rsid w:val="00987F06"/>
    <w:rsid w:val="00991291"/>
    <w:rsid w:val="0099393D"/>
    <w:rsid w:val="00996A62"/>
    <w:rsid w:val="00996B4C"/>
    <w:rsid w:val="00997BE3"/>
    <w:rsid w:val="009A2D08"/>
    <w:rsid w:val="009A7C55"/>
    <w:rsid w:val="009B192F"/>
    <w:rsid w:val="009B35F8"/>
    <w:rsid w:val="009B576C"/>
    <w:rsid w:val="009B57A8"/>
    <w:rsid w:val="009B67F9"/>
    <w:rsid w:val="009C0835"/>
    <w:rsid w:val="009C083C"/>
    <w:rsid w:val="009C1F9A"/>
    <w:rsid w:val="009C6761"/>
    <w:rsid w:val="009C6E53"/>
    <w:rsid w:val="009C7CDF"/>
    <w:rsid w:val="009D1AC2"/>
    <w:rsid w:val="009D2789"/>
    <w:rsid w:val="009D6A57"/>
    <w:rsid w:val="009D7578"/>
    <w:rsid w:val="009D7631"/>
    <w:rsid w:val="009D774A"/>
    <w:rsid w:val="009D7E12"/>
    <w:rsid w:val="009E10BB"/>
    <w:rsid w:val="009E285D"/>
    <w:rsid w:val="009E2E2E"/>
    <w:rsid w:val="009E330E"/>
    <w:rsid w:val="009E3F51"/>
    <w:rsid w:val="009E4298"/>
    <w:rsid w:val="009E4980"/>
    <w:rsid w:val="009E5058"/>
    <w:rsid w:val="009E5BCD"/>
    <w:rsid w:val="009E5E7D"/>
    <w:rsid w:val="009E7843"/>
    <w:rsid w:val="009F0679"/>
    <w:rsid w:val="009F0827"/>
    <w:rsid w:val="009F0A24"/>
    <w:rsid w:val="009F145E"/>
    <w:rsid w:val="009F2673"/>
    <w:rsid w:val="009F37DB"/>
    <w:rsid w:val="009F5372"/>
    <w:rsid w:val="00A00E93"/>
    <w:rsid w:val="00A016D0"/>
    <w:rsid w:val="00A03537"/>
    <w:rsid w:val="00A05814"/>
    <w:rsid w:val="00A067C3"/>
    <w:rsid w:val="00A10247"/>
    <w:rsid w:val="00A11FC7"/>
    <w:rsid w:val="00A13A7A"/>
    <w:rsid w:val="00A148AE"/>
    <w:rsid w:val="00A1663A"/>
    <w:rsid w:val="00A1798D"/>
    <w:rsid w:val="00A21653"/>
    <w:rsid w:val="00A21960"/>
    <w:rsid w:val="00A21BF3"/>
    <w:rsid w:val="00A21DAA"/>
    <w:rsid w:val="00A239A4"/>
    <w:rsid w:val="00A23CE4"/>
    <w:rsid w:val="00A2442B"/>
    <w:rsid w:val="00A24688"/>
    <w:rsid w:val="00A25542"/>
    <w:rsid w:val="00A263BF"/>
    <w:rsid w:val="00A27928"/>
    <w:rsid w:val="00A27AB7"/>
    <w:rsid w:val="00A30A96"/>
    <w:rsid w:val="00A33A27"/>
    <w:rsid w:val="00A3606D"/>
    <w:rsid w:val="00A367A1"/>
    <w:rsid w:val="00A36A6B"/>
    <w:rsid w:val="00A42648"/>
    <w:rsid w:val="00A42F1C"/>
    <w:rsid w:val="00A4503F"/>
    <w:rsid w:val="00A54229"/>
    <w:rsid w:val="00A543EA"/>
    <w:rsid w:val="00A60208"/>
    <w:rsid w:val="00A60688"/>
    <w:rsid w:val="00A6072F"/>
    <w:rsid w:val="00A62858"/>
    <w:rsid w:val="00A63A5F"/>
    <w:rsid w:val="00A64357"/>
    <w:rsid w:val="00A646F0"/>
    <w:rsid w:val="00A6560E"/>
    <w:rsid w:val="00A65C58"/>
    <w:rsid w:val="00A65EE9"/>
    <w:rsid w:val="00A663FF"/>
    <w:rsid w:val="00A67375"/>
    <w:rsid w:val="00A67D30"/>
    <w:rsid w:val="00A71ED8"/>
    <w:rsid w:val="00A72B1D"/>
    <w:rsid w:val="00A72F2D"/>
    <w:rsid w:val="00A74228"/>
    <w:rsid w:val="00A74B7B"/>
    <w:rsid w:val="00A762B7"/>
    <w:rsid w:val="00A76E05"/>
    <w:rsid w:val="00A774C2"/>
    <w:rsid w:val="00A77EE0"/>
    <w:rsid w:val="00A913ED"/>
    <w:rsid w:val="00A91734"/>
    <w:rsid w:val="00A92FD1"/>
    <w:rsid w:val="00A934BF"/>
    <w:rsid w:val="00A94416"/>
    <w:rsid w:val="00A949CB"/>
    <w:rsid w:val="00A97446"/>
    <w:rsid w:val="00A9778B"/>
    <w:rsid w:val="00A97DAA"/>
    <w:rsid w:val="00AA1184"/>
    <w:rsid w:val="00AA1E57"/>
    <w:rsid w:val="00AA2988"/>
    <w:rsid w:val="00AA3DDF"/>
    <w:rsid w:val="00AA58AE"/>
    <w:rsid w:val="00AB1A0B"/>
    <w:rsid w:val="00AB273F"/>
    <w:rsid w:val="00AB2774"/>
    <w:rsid w:val="00AB2A8C"/>
    <w:rsid w:val="00AB76C0"/>
    <w:rsid w:val="00AC05AD"/>
    <w:rsid w:val="00AC0925"/>
    <w:rsid w:val="00AC0D2E"/>
    <w:rsid w:val="00AC2E8F"/>
    <w:rsid w:val="00AC4B5A"/>
    <w:rsid w:val="00AC52FF"/>
    <w:rsid w:val="00AD07E7"/>
    <w:rsid w:val="00AD1E1C"/>
    <w:rsid w:val="00AD374F"/>
    <w:rsid w:val="00AD421B"/>
    <w:rsid w:val="00AD5648"/>
    <w:rsid w:val="00AD60F0"/>
    <w:rsid w:val="00AD7A5C"/>
    <w:rsid w:val="00AE042E"/>
    <w:rsid w:val="00AE06E8"/>
    <w:rsid w:val="00AE1018"/>
    <w:rsid w:val="00AE24C2"/>
    <w:rsid w:val="00AE2635"/>
    <w:rsid w:val="00AE38C9"/>
    <w:rsid w:val="00AE3931"/>
    <w:rsid w:val="00AE4E8C"/>
    <w:rsid w:val="00AE531B"/>
    <w:rsid w:val="00AE58D4"/>
    <w:rsid w:val="00AE5F70"/>
    <w:rsid w:val="00AE6B0E"/>
    <w:rsid w:val="00AE6B13"/>
    <w:rsid w:val="00AE6C96"/>
    <w:rsid w:val="00AF0F89"/>
    <w:rsid w:val="00AF26B0"/>
    <w:rsid w:val="00AF4FA8"/>
    <w:rsid w:val="00AF6742"/>
    <w:rsid w:val="00AF7BFB"/>
    <w:rsid w:val="00B00A33"/>
    <w:rsid w:val="00B00B14"/>
    <w:rsid w:val="00B03C0F"/>
    <w:rsid w:val="00B05BDE"/>
    <w:rsid w:val="00B072A9"/>
    <w:rsid w:val="00B076F8"/>
    <w:rsid w:val="00B07AB8"/>
    <w:rsid w:val="00B10634"/>
    <w:rsid w:val="00B11310"/>
    <w:rsid w:val="00B11BB7"/>
    <w:rsid w:val="00B12357"/>
    <w:rsid w:val="00B13C5F"/>
    <w:rsid w:val="00B14053"/>
    <w:rsid w:val="00B15453"/>
    <w:rsid w:val="00B157CE"/>
    <w:rsid w:val="00B15E47"/>
    <w:rsid w:val="00B16DF3"/>
    <w:rsid w:val="00B20034"/>
    <w:rsid w:val="00B20357"/>
    <w:rsid w:val="00B24B9C"/>
    <w:rsid w:val="00B24D80"/>
    <w:rsid w:val="00B2545D"/>
    <w:rsid w:val="00B27A67"/>
    <w:rsid w:val="00B33751"/>
    <w:rsid w:val="00B338C8"/>
    <w:rsid w:val="00B34B3E"/>
    <w:rsid w:val="00B34D7D"/>
    <w:rsid w:val="00B34FFC"/>
    <w:rsid w:val="00B354ED"/>
    <w:rsid w:val="00B4217B"/>
    <w:rsid w:val="00B43FD5"/>
    <w:rsid w:val="00B44A19"/>
    <w:rsid w:val="00B45B72"/>
    <w:rsid w:val="00B46D60"/>
    <w:rsid w:val="00B47789"/>
    <w:rsid w:val="00B5027A"/>
    <w:rsid w:val="00B50886"/>
    <w:rsid w:val="00B522EF"/>
    <w:rsid w:val="00B55E0F"/>
    <w:rsid w:val="00B57A8F"/>
    <w:rsid w:val="00B619D4"/>
    <w:rsid w:val="00B62145"/>
    <w:rsid w:val="00B631C6"/>
    <w:rsid w:val="00B64F51"/>
    <w:rsid w:val="00B67AD7"/>
    <w:rsid w:val="00B70C0E"/>
    <w:rsid w:val="00B7215E"/>
    <w:rsid w:val="00B721C0"/>
    <w:rsid w:val="00B733DC"/>
    <w:rsid w:val="00B73854"/>
    <w:rsid w:val="00B73BFC"/>
    <w:rsid w:val="00B769EF"/>
    <w:rsid w:val="00B77410"/>
    <w:rsid w:val="00B81452"/>
    <w:rsid w:val="00B824A3"/>
    <w:rsid w:val="00B8481B"/>
    <w:rsid w:val="00B84B19"/>
    <w:rsid w:val="00B85B9B"/>
    <w:rsid w:val="00B8787B"/>
    <w:rsid w:val="00B87897"/>
    <w:rsid w:val="00B91270"/>
    <w:rsid w:val="00B93C38"/>
    <w:rsid w:val="00B9530B"/>
    <w:rsid w:val="00B95E0D"/>
    <w:rsid w:val="00B95F03"/>
    <w:rsid w:val="00BA0270"/>
    <w:rsid w:val="00BA0D74"/>
    <w:rsid w:val="00BA1267"/>
    <w:rsid w:val="00BA1934"/>
    <w:rsid w:val="00BA228E"/>
    <w:rsid w:val="00BA3113"/>
    <w:rsid w:val="00BA429B"/>
    <w:rsid w:val="00BA6FC7"/>
    <w:rsid w:val="00BB108B"/>
    <w:rsid w:val="00BB19A5"/>
    <w:rsid w:val="00BB1A40"/>
    <w:rsid w:val="00BB404C"/>
    <w:rsid w:val="00BB4420"/>
    <w:rsid w:val="00BB4542"/>
    <w:rsid w:val="00BB4562"/>
    <w:rsid w:val="00BB528E"/>
    <w:rsid w:val="00BC0880"/>
    <w:rsid w:val="00BC19A6"/>
    <w:rsid w:val="00BC1D81"/>
    <w:rsid w:val="00BC1F43"/>
    <w:rsid w:val="00BC27CD"/>
    <w:rsid w:val="00BC2973"/>
    <w:rsid w:val="00BC312A"/>
    <w:rsid w:val="00BC3C61"/>
    <w:rsid w:val="00BC4ED8"/>
    <w:rsid w:val="00BC5051"/>
    <w:rsid w:val="00BC5C5D"/>
    <w:rsid w:val="00BC6146"/>
    <w:rsid w:val="00BC61CB"/>
    <w:rsid w:val="00BC6C56"/>
    <w:rsid w:val="00BC72BD"/>
    <w:rsid w:val="00BC7B76"/>
    <w:rsid w:val="00BD00B4"/>
    <w:rsid w:val="00BD0AB8"/>
    <w:rsid w:val="00BD0F60"/>
    <w:rsid w:val="00BD12F6"/>
    <w:rsid w:val="00BD1382"/>
    <w:rsid w:val="00BD24C3"/>
    <w:rsid w:val="00BD2548"/>
    <w:rsid w:val="00BD362B"/>
    <w:rsid w:val="00BD4433"/>
    <w:rsid w:val="00BD466D"/>
    <w:rsid w:val="00BD58ED"/>
    <w:rsid w:val="00BE1748"/>
    <w:rsid w:val="00BE3F13"/>
    <w:rsid w:val="00BE4905"/>
    <w:rsid w:val="00BE4D8D"/>
    <w:rsid w:val="00BE5FF3"/>
    <w:rsid w:val="00BE6F18"/>
    <w:rsid w:val="00BF008D"/>
    <w:rsid w:val="00BF0220"/>
    <w:rsid w:val="00BF0F81"/>
    <w:rsid w:val="00BF10EB"/>
    <w:rsid w:val="00BF22D2"/>
    <w:rsid w:val="00BF34F3"/>
    <w:rsid w:val="00BF5831"/>
    <w:rsid w:val="00BF6C12"/>
    <w:rsid w:val="00C02C19"/>
    <w:rsid w:val="00C03DA2"/>
    <w:rsid w:val="00C06540"/>
    <w:rsid w:val="00C12554"/>
    <w:rsid w:val="00C126F1"/>
    <w:rsid w:val="00C13135"/>
    <w:rsid w:val="00C13B86"/>
    <w:rsid w:val="00C13E27"/>
    <w:rsid w:val="00C15147"/>
    <w:rsid w:val="00C16772"/>
    <w:rsid w:val="00C167EB"/>
    <w:rsid w:val="00C16E48"/>
    <w:rsid w:val="00C224B4"/>
    <w:rsid w:val="00C24313"/>
    <w:rsid w:val="00C2455D"/>
    <w:rsid w:val="00C27215"/>
    <w:rsid w:val="00C30041"/>
    <w:rsid w:val="00C3037D"/>
    <w:rsid w:val="00C30678"/>
    <w:rsid w:val="00C3246E"/>
    <w:rsid w:val="00C445BB"/>
    <w:rsid w:val="00C45C6F"/>
    <w:rsid w:val="00C46CE2"/>
    <w:rsid w:val="00C477A5"/>
    <w:rsid w:val="00C50F1B"/>
    <w:rsid w:val="00C5109D"/>
    <w:rsid w:val="00C54427"/>
    <w:rsid w:val="00C5745C"/>
    <w:rsid w:val="00C57B2A"/>
    <w:rsid w:val="00C6142A"/>
    <w:rsid w:val="00C62185"/>
    <w:rsid w:val="00C62A4E"/>
    <w:rsid w:val="00C643CD"/>
    <w:rsid w:val="00C65ECD"/>
    <w:rsid w:val="00C679B7"/>
    <w:rsid w:val="00C70FC4"/>
    <w:rsid w:val="00C72850"/>
    <w:rsid w:val="00C72904"/>
    <w:rsid w:val="00C7374A"/>
    <w:rsid w:val="00C73884"/>
    <w:rsid w:val="00C74288"/>
    <w:rsid w:val="00C76535"/>
    <w:rsid w:val="00C77E10"/>
    <w:rsid w:val="00C805CF"/>
    <w:rsid w:val="00C817F3"/>
    <w:rsid w:val="00C82D69"/>
    <w:rsid w:val="00C855CC"/>
    <w:rsid w:val="00C868CD"/>
    <w:rsid w:val="00C86D3C"/>
    <w:rsid w:val="00C875C2"/>
    <w:rsid w:val="00C87AD0"/>
    <w:rsid w:val="00C90A1C"/>
    <w:rsid w:val="00C92909"/>
    <w:rsid w:val="00C93FCF"/>
    <w:rsid w:val="00C94E36"/>
    <w:rsid w:val="00C9598F"/>
    <w:rsid w:val="00C95B42"/>
    <w:rsid w:val="00C96FB5"/>
    <w:rsid w:val="00C9704C"/>
    <w:rsid w:val="00CA4AB9"/>
    <w:rsid w:val="00CA5FC4"/>
    <w:rsid w:val="00CA6BE1"/>
    <w:rsid w:val="00CB07FA"/>
    <w:rsid w:val="00CB1554"/>
    <w:rsid w:val="00CB1C29"/>
    <w:rsid w:val="00CB2FD6"/>
    <w:rsid w:val="00CB32B0"/>
    <w:rsid w:val="00CB3DE7"/>
    <w:rsid w:val="00CB5B23"/>
    <w:rsid w:val="00CB65C0"/>
    <w:rsid w:val="00CB66B2"/>
    <w:rsid w:val="00CC02DE"/>
    <w:rsid w:val="00CC3CB9"/>
    <w:rsid w:val="00CC3DB7"/>
    <w:rsid w:val="00CC4B2F"/>
    <w:rsid w:val="00CC5D92"/>
    <w:rsid w:val="00CC6491"/>
    <w:rsid w:val="00CD0040"/>
    <w:rsid w:val="00CD12B7"/>
    <w:rsid w:val="00CD13E6"/>
    <w:rsid w:val="00CD2382"/>
    <w:rsid w:val="00CD2A0B"/>
    <w:rsid w:val="00CD3FDB"/>
    <w:rsid w:val="00CD41E3"/>
    <w:rsid w:val="00CD49BE"/>
    <w:rsid w:val="00CD6062"/>
    <w:rsid w:val="00CE0518"/>
    <w:rsid w:val="00CE0619"/>
    <w:rsid w:val="00CE08C8"/>
    <w:rsid w:val="00CE11AF"/>
    <w:rsid w:val="00CE39EE"/>
    <w:rsid w:val="00CE4304"/>
    <w:rsid w:val="00CE46B6"/>
    <w:rsid w:val="00CE5ACB"/>
    <w:rsid w:val="00CE6915"/>
    <w:rsid w:val="00CF02DA"/>
    <w:rsid w:val="00CF1CEF"/>
    <w:rsid w:val="00CF1E71"/>
    <w:rsid w:val="00CF4385"/>
    <w:rsid w:val="00CF611C"/>
    <w:rsid w:val="00CF7809"/>
    <w:rsid w:val="00D002BD"/>
    <w:rsid w:val="00D0089D"/>
    <w:rsid w:val="00D01AEC"/>
    <w:rsid w:val="00D032D5"/>
    <w:rsid w:val="00D033E4"/>
    <w:rsid w:val="00D04777"/>
    <w:rsid w:val="00D06864"/>
    <w:rsid w:val="00D07DDB"/>
    <w:rsid w:val="00D124B9"/>
    <w:rsid w:val="00D126DD"/>
    <w:rsid w:val="00D12FCF"/>
    <w:rsid w:val="00D13ADF"/>
    <w:rsid w:val="00D17297"/>
    <w:rsid w:val="00D17D8C"/>
    <w:rsid w:val="00D2007D"/>
    <w:rsid w:val="00D200A8"/>
    <w:rsid w:val="00D24060"/>
    <w:rsid w:val="00D26B42"/>
    <w:rsid w:val="00D27155"/>
    <w:rsid w:val="00D30361"/>
    <w:rsid w:val="00D30525"/>
    <w:rsid w:val="00D307AD"/>
    <w:rsid w:val="00D31D0F"/>
    <w:rsid w:val="00D36758"/>
    <w:rsid w:val="00D40E39"/>
    <w:rsid w:val="00D40F49"/>
    <w:rsid w:val="00D41B3B"/>
    <w:rsid w:val="00D41BDB"/>
    <w:rsid w:val="00D42100"/>
    <w:rsid w:val="00D44979"/>
    <w:rsid w:val="00D459A6"/>
    <w:rsid w:val="00D45CA2"/>
    <w:rsid w:val="00D466B7"/>
    <w:rsid w:val="00D472EB"/>
    <w:rsid w:val="00D50F03"/>
    <w:rsid w:val="00D523F8"/>
    <w:rsid w:val="00D53D34"/>
    <w:rsid w:val="00D55024"/>
    <w:rsid w:val="00D558EE"/>
    <w:rsid w:val="00D604E3"/>
    <w:rsid w:val="00D60703"/>
    <w:rsid w:val="00D615B4"/>
    <w:rsid w:val="00D637DE"/>
    <w:rsid w:val="00D670BB"/>
    <w:rsid w:val="00D7033F"/>
    <w:rsid w:val="00D70762"/>
    <w:rsid w:val="00D71F1A"/>
    <w:rsid w:val="00D71FDF"/>
    <w:rsid w:val="00D729B6"/>
    <w:rsid w:val="00D73F89"/>
    <w:rsid w:val="00D74308"/>
    <w:rsid w:val="00D74D37"/>
    <w:rsid w:val="00D755C5"/>
    <w:rsid w:val="00D768BB"/>
    <w:rsid w:val="00D77D94"/>
    <w:rsid w:val="00D77F24"/>
    <w:rsid w:val="00D80A2E"/>
    <w:rsid w:val="00D82708"/>
    <w:rsid w:val="00D8298A"/>
    <w:rsid w:val="00D84258"/>
    <w:rsid w:val="00D84904"/>
    <w:rsid w:val="00D86567"/>
    <w:rsid w:val="00D87135"/>
    <w:rsid w:val="00D87A5A"/>
    <w:rsid w:val="00D92107"/>
    <w:rsid w:val="00D939C3"/>
    <w:rsid w:val="00D93F21"/>
    <w:rsid w:val="00D94854"/>
    <w:rsid w:val="00D94AB3"/>
    <w:rsid w:val="00D94FA1"/>
    <w:rsid w:val="00D967D1"/>
    <w:rsid w:val="00D96B33"/>
    <w:rsid w:val="00D96F7B"/>
    <w:rsid w:val="00DA00A7"/>
    <w:rsid w:val="00DA102F"/>
    <w:rsid w:val="00DA1406"/>
    <w:rsid w:val="00DA269B"/>
    <w:rsid w:val="00DA2792"/>
    <w:rsid w:val="00DA3B35"/>
    <w:rsid w:val="00DA654D"/>
    <w:rsid w:val="00DA670A"/>
    <w:rsid w:val="00DA7DC9"/>
    <w:rsid w:val="00DB0AE7"/>
    <w:rsid w:val="00DB1C12"/>
    <w:rsid w:val="00DB2338"/>
    <w:rsid w:val="00DB2B09"/>
    <w:rsid w:val="00DB385E"/>
    <w:rsid w:val="00DB48DA"/>
    <w:rsid w:val="00DB53C3"/>
    <w:rsid w:val="00DB58C4"/>
    <w:rsid w:val="00DB5B46"/>
    <w:rsid w:val="00DB694B"/>
    <w:rsid w:val="00DB6C27"/>
    <w:rsid w:val="00DC1E57"/>
    <w:rsid w:val="00DC37C4"/>
    <w:rsid w:val="00DC4E57"/>
    <w:rsid w:val="00DC5128"/>
    <w:rsid w:val="00DC6FFA"/>
    <w:rsid w:val="00DD0393"/>
    <w:rsid w:val="00DD07C9"/>
    <w:rsid w:val="00DD159A"/>
    <w:rsid w:val="00DD22BE"/>
    <w:rsid w:val="00DD2F53"/>
    <w:rsid w:val="00DD4FF7"/>
    <w:rsid w:val="00DD5049"/>
    <w:rsid w:val="00DD54B2"/>
    <w:rsid w:val="00DE054C"/>
    <w:rsid w:val="00DE2AB0"/>
    <w:rsid w:val="00DE2C98"/>
    <w:rsid w:val="00DE3E39"/>
    <w:rsid w:val="00DE4E3B"/>
    <w:rsid w:val="00DE60C0"/>
    <w:rsid w:val="00DE70EA"/>
    <w:rsid w:val="00DE7CAE"/>
    <w:rsid w:val="00DF032A"/>
    <w:rsid w:val="00DF042B"/>
    <w:rsid w:val="00DF08F3"/>
    <w:rsid w:val="00DF23F5"/>
    <w:rsid w:val="00E02DDD"/>
    <w:rsid w:val="00E03AF1"/>
    <w:rsid w:val="00E04672"/>
    <w:rsid w:val="00E05689"/>
    <w:rsid w:val="00E05B71"/>
    <w:rsid w:val="00E0660F"/>
    <w:rsid w:val="00E10D9F"/>
    <w:rsid w:val="00E11A3B"/>
    <w:rsid w:val="00E12309"/>
    <w:rsid w:val="00E124FD"/>
    <w:rsid w:val="00E12619"/>
    <w:rsid w:val="00E13031"/>
    <w:rsid w:val="00E15E5E"/>
    <w:rsid w:val="00E169A1"/>
    <w:rsid w:val="00E23D7C"/>
    <w:rsid w:val="00E244AC"/>
    <w:rsid w:val="00E246F6"/>
    <w:rsid w:val="00E254B9"/>
    <w:rsid w:val="00E25A5D"/>
    <w:rsid w:val="00E25EE9"/>
    <w:rsid w:val="00E276A1"/>
    <w:rsid w:val="00E279E0"/>
    <w:rsid w:val="00E3001E"/>
    <w:rsid w:val="00E308BB"/>
    <w:rsid w:val="00E30D2F"/>
    <w:rsid w:val="00E31792"/>
    <w:rsid w:val="00E32732"/>
    <w:rsid w:val="00E33527"/>
    <w:rsid w:val="00E33609"/>
    <w:rsid w:val="00E338A2"/>
    <w:rsid w:val="00E40CBB"/>
    <w:rsid w:val="00E4231A"/>
    <w:rsid w:val="00E42CBC"/>
    <w:rsid w:val="00E430F7"/>
    <w:rsid w:val="00E4510F"/>
    <w:rsid w:val="00E51389"/>
    <w:rsid w:val="00E52034"/>
    <w:rsid w:val="00E525F8"/>
    <w:rsid w:val="00E532F8"/>
    <w:rsid w:val="00E55C94"/>
    <w:rsid w:val="00E56716"/>
    <w:rsid w:val="00E574AA"/>
    <w:rsid w:val="00E57D66"/>
    <w:rsid w:val="00E62D3E"/>
    <w:rsid w:val="00E63DBF"/>
    <w:rsid w:val="00E648A7"/>
    <w:rsid w:val="00E64C54"/>
    <w:rsid w:val="00E65442"/>
    <w:rsid w:val="00E66AFE"/>
    <w:rsid w:val="00E67BAF"/>
    <w:rsid w:val="00E70CFA"/>
    <w:rsid w:val="00E715FA"/>
    <w:rsid w:val="00E7184E"/>
    <w:rsid w:val="00E72CD9"/>
    <w:rsid w:val="00E73800"/>
    <w:rsid w:val="00E73D09"/>
    <w:rsid w:val="00E73D29"/>
    <w:rsid w:val="00E73D8C"/>
    <w:rsid w:val="00E7424F"/>
    <w:rsid w:val="00E747D9"/>
    <w:rsid w:val="00E82C6E"/>
    <w:rsid w:val="00E82DFA"/>
    <w:rsid w:val="00E836BD"/>
    <w:rsid w:val="00E83A25"/>
    <w:rsid w:val="00E840CF"/>
    <w:rsid w:val="00E879F4"/>
    <w:rsid w:val="00E902D1"/>
    <w:rsid w:val="00E91D54"/>
    <w:rsid w:val="00E9238F"/>
    <w:rsid w:val="00E92A57"/>
    <w:rsid w:val="00E92CC5"/>
    <w:rsid w:val="00E9308A"/>
    <w:rsid w:val="00E93F1B"/>
    <w:rsid w:val="00E93F8B"/>
    <w:rsid w:val="00E952BC"/>
    <w:rsid w:val="00E953EE"/>
    <w:rsid w:val="00E960F5"/>
    <w:rsid w:val="00E96F41"/>
    <w:rsid w:val="00E97DBC"/>
    <w:rsid w:val="00EA0F4E"/>
    <w:rsid w:val="00EA2841"/>
    <w:rsid w:val="00EA2A75"/>
    <w:rsid w:val="00EA371D"/>
    <w:rsid w:val="00EB0309"/>
    <w:rsid w:val="00EB09C0"/>
    <w:rsid w:val="00EB0F10"/>
    <w:rsid w:val="00EB173B"/>
    <w:rsid w:val="00EB2FBF"/>
    <w:rsid w:val="00EB3B61"/>
    <w:rsid w:val="00EC1914"/>
    <w:rsid w:val="00EC1E51"/>
    <w:rsid w:val="00EC4375"/>
    <w:rsid w:val="00EC6699"/>
    <w:rsid w:val="00EC6D09"/>
    <w:rsid w:val="00EC77C7"/>
    <w:rsid w:val="00EC78A9"/>
    <w:rsid w:val="00ED0D30"/>
    <w:rsid w:val="00ED1002"/>
    <w:rsid w:val="00ED319A"/>
    <w:rsid w:val="00ED3DA2"/>
    <w:rsid w:val="00ED52C2"/>
    <w:rsid w:val="00ED61AA"/>
    <w:rsid w:val="00ED689D"/>
    <w:rsid w:val="00EE135F"/>
    <w:rsid w:val="00EE3620"/>
    <w:rsid w:val="00EE46F1"/>
    <w:rsid w:val="00EE533D"/>
    <w:rsid w:val="00EE7E9E"/>
    <w:rsid w:val="00EF23C6"/>
    <w:rsid w:val="00EF48B5"/>
    <w:rsid w:val="00EF6103"/>
    <w:rsid w:val="00EF63B7"/>
    <w:rsid w:val="00EF6404"/>
    <w:rsid w:val="00F02FA8"/>
    <w:rsid w:val="00F03477"/>
    <w:rsid w:val="00F04990"/>
    <w:rsid w:val="00F04A77"/>
    <w:rsid w:val="00F04C5C"/>
    <w:rsid w:val="00F054DA"/>
    <w:rsid w:val="00F05996"/>
    <w:rsid w:val="00F05B7E"/>
    <w:rsid w:val="00F07ED8"/>
    <w:rsid w:val="00F115D6"/>
    <w:rsid w:val="00F11625"/>
    <w:rsid w:val="00F128AC"/>
    <w:rsid w:val="00F12D92"/>
    <w:rsid w:val="00F16FDB"/>
    <w:rsid w:val="00F17BDB"/>
    <w:rsid w:val="00F21A5C"/>
    <w:rsid w:val="00F22794"/>
    <w:rsid w:val="00F22C5C"/>
    <w:rsid w:val="00F23194"/>
    <w:rsid w:val="00F23B34"/>
    <w:rsid w:val="00F25804"/>
    <w:rsid w:val="00F25C44"/>
    <w:rsid w:val="00F261E8"/>
    <w:rsid w:val="00F273FB"/>
    <w:rsid w:val="00F27BA2"/>
    <w:rsid w:val="00F30A34"/>
    <w:rsid w:val="00F30BC7"/>
    <w:rsid w:val="00F32F69"/>
    <w:rsid w:val="00F335F7"/>
    <w:rsid w:val="00F346ED"/>
    <w:rsid w:val="00F35EB2"/>
    <w:rsid w:val="00F36FE2"/>
    <w:rsid w:val="00F40B3F"/>
    <w:rsid w:val="00F419F5"/>
    <w:rsid w:val="00F42087"/>
    <w:rsid w:val="00F43561"/>
    <w:rsid w:val="00F442FF"/>
    <w:rsid w:val="00F4481B"/>
    <w:rsid w:val="00F46D1A"/>
    <w:rsid w:val="00F47B94"/>
    <w:rsid w:val="00F47BB6"/>
    <w:rsid w:val="00F508D4"/>
    <w:rsid w:val="00F52912"/>
    <w:rsid w:val="00F53659"/>
    <w:rsid w:val="00F544E1"/>
    <w:rsid w:val="00F56204"/>
    <w:rsid w:val="00F5625D"/>
    <w:rsid w:val="00F56A8C"/>
    <w:rsid w:val="00F57EDD"/>
    <w:rsid w:val="00F6021A"/>
    <w:rsid w:val="00F6131D"/>
    <w:rsid w:val="00F62EF3"/>
    <w:rsid w:val="00F6399E"/>
    <w:rsid w:val="00F662EC"/>
    <w:rsid w:val="00F67672"/>
    <w:rsid w:val="00F676A8"/>
    <w:rsid w:val="00F70E29"/>
    <w:rsid w:val="00F715BE"/>
    <w:rsid w:val="00F7167C"/>
    <w:rsid w:val="00F71A0F"/>
    <w:rsid w:val="00F736AB"/>
    <w:rsid w:val="00F73B70"/>
    <w:rsid w:val="00F74263"/>
    <w:rsid w:val="00F804A4"/>
    <w:rsid w:val="00F80785"/>
    <w:rsid w:val="00F81247"/>
    <w:rsid w:val="00F81906"/>
    <w:rsid w:val="00F819C3"/>
    <w:rsid w:val="00F835F9"/>
    <w:rsid w:val="00F84846"/>
    <w:rsid w:val="00F908D0"/>
    <w:rsid w:val="00F90AF3"/>
    <w:rsid w:val="00F910F8"/>
    <w:rsid w:val="00F936B5"/>
    <w:rsid w:val="00F93C74"/>
    <w:rsid w:val="00F957C5"/>
    <w:rsid w:val="00F96716"/>
    <w:rsid w:val="00F96EC1"/>
    <w:rsid w:val="00F9796D"/>
    <w:rsid w:val="00FA18AD"/>
    <w:rsid w:val="00FA1AEE"/>
    <w:rsid w:val="00FA2F2E"/>
    <w:rsid w:val="00FA5ECA"/>
    <w:rsid w:val="00FA667C"/>
    <w:rsid w:val="00FB3F81"/>
    <w:rsid w:val="00FB4A74"/>
    <w:rsid w:val="00FB53A9"/>
    <w:rsid w:val="00FB5D13"/>
    <w:rsid w:val="00FC05F5"/>
    <w:rsid w:val="00FC0DDE"/>
    <w:rsid w:val="00FC1044"/>
    <w:rsid w:val="00FC192B"/>
    <w:rsid w:val="00FC2F80"/>
    <w:rsid w:val="00FC313C"/>
    <w:rsid w:val="00FC413F"/>
    <w:rsid w:val="00FC42B7"/>
    <w:rsid w:val="00FC7D6B"/>
    <w:rsid w:val="00FD071A"/>
    <w:rsid w:val="00FD14A3"/>
    <w:rsid w:val="00FD2945"/>
    <w:rsid w:val="00FD2AB7"/>
    <w:rsid w:val="00FD41F1"/>
    <w:rsid w:val="00FD47EF"/>
    <w:rsid w:val="00FD57B5"/>
    <w:rsid w:val="00FD592D"/>
    <w:rsid w:val="00FD5DAA"/>
    <w:rsid w:val="00FD724F"/>
    <w:rsid w:val="00FD7407"/>
    <w:rsid w:val="00FE0905"/>
    <w:rsid w:val="00FE15F3"/>
    <w:rsid w:val="00FE1C2F"/>
    <w:rsid w:val="00FE22F6"/>
    <w:rsid w:val="00FE2AB7"/>
    <w:rsid w:val="00FE322C"/>
    <w:rsid w:val="00FE3985"/>
    <w:rsid w:val="00FE3EF2"/>
    <w:rsid w:val="00FE5A4B"/>
    <w:rsid w:val="00FE5E53"/>
    <w:rsid w:val="00FF0C14"/>
    <w:rsid w:val="00FF158D"/>
    <w:rsid w:val="00FF5341"/>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2D4C-9CDE-4EC0-9666-6E639D0B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29</Pages>
  <Words>10630</Words>
  <Characters>60594</Characters>
  <Application>Microsoft Office Word</Application>
  <DocSecurity>0</DocSecurity>
  <Lines>504</Lines>
  <Paragraphs>142</Paragraphs>
  <ScaleCrop>false</ScaleCrop>
  <Company/>
  <LinksUpToDate>false</LinksUpToDate>
  <CharactersWithSpaces>71082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1925</cp:revision>
  <cp:lastPrinted>2019-03-16T05:00:00Z</cp:lastPrinted>
  <dcterms:created xsi:type="dcterms:W3CDTF">2019-03-04T05:15:00Z</dcterms:created>
  <dcterms:modified xsi:type="dcterms:W3CDTF">2019-03-16T05:36:00Z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id="l72KxyA1"/&gt;&lt;style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