
<file path=[Content_Types].xml><?xml version="1.0" encoding="utf-8"?>
<Types xmlns="http://schemas.openxmlformats.org/package/2006/content-types">
  <Default ContentType="image/png" Extension="png"/>
  <Default ContentType="image/png" Extension="tmp"/>
  <Default ContentType="image/jpeg" Extension="jpeg"/>
  <Default ContentType="image/jpeg" Extension="jpg!d"/>
  <Default ContentType="image/jpg" Extension="jpg"/>
  <Default ContentType="image/webp" Extension="webp"/>
  <Default ContentType="image/bmp" Extension="bmp"/>
  <Default ContentType="image/gif" Extension="gif"/>
  <Default ContentType="image/tiff" Extension="tiff"/>
  <Default ContentType="image/x-wmf" Extension="wmf"/>
  <Default ContentType="image/x-wmf" Extension="bin"/>
  <Default ContentType="image/x-emf" Extension="emf"/>
  <Default ContentType="image/aces" Extension="exr"/>
  <Default ContentType="image/x-icon" Extension="ico"/>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wp14="http://schemas.microsoft.com/office/word/2010/wordprocessingDrawing" xmlns:w14="http://schemas.microsoft.com/office/word/2010/wordml" xmlns:w15="http://schemas.microsoft.com/office/word/2012/wordml" mc:Ignorable="w14 w15 wp14">
  <w:body>
    <w:p>
      <w:pPr>
        <w:pStyle w:val="dingding-heading1"/>
      </w:pPr>
      <w:r>
        <w:rPr>
          <w:sz w:val="48"/>
          <w:b w:val="1"/>
        </w:rPr>
        <w:t xml:space="preserve">相机-激光雷达联合标定工具操作指南</w:t>
      </w:r>
    </w:p>
    <w:p>
      <w:pPr>
        <w:pStyle w:val="dingding-heading1"/>
        <w:spacing w:line="204.70588235294116"/>
      </w:pPr>
      <w:r>
        <w:rPr>
          <w:sz w:val="40"/>
          <w:b w:val="1"/>
        </w:rPr>
        <w:t xml:space="preserve">电脑依赖环境</w:t>
      </w:r>
    </w:p>
    <w:p>
      <w:pPr/>
      <w:r>
        <w:t xml:space="preserve">电脑需要提前ROS环境和确保下列几个的库都是安装好的</w:t>
      </w:r>
    </w:p>
    <w:p>
      <w:pPr/>
      <w:r>
        <w:t xml:space="preserve">ROS</w:t>
      </w:r>
    </w:p>
    <w:p>
      <w:pPr/>
      <w:r>
        <w:t xml:space="preserve">Eigen3</w:t>
      </w:r>
    </w:p>
    <w:p>
      <w:pPr/>
      <w:r>
        <w:t xml:space="preserve">OpenCV4</w:t>
      </w:r>
    </w:p>
    <w:p>
      <w:pPr/>
      <w:r>
        <w:t xml:space="preserve">PCL1.7</w:t>
      </w:r>
    </w:p>
    <w:p>
      <w:pPr/>
      <w:r>
        <w:t xml:space="preserve">Boost</w:t>
      </w:r>
    </w:p>
    <w:p>
      <w:pPr/>
      <w:r>
        <w:t xml:space="preserve">Ceres</w:t>
      </w:r>
    </w:p>
    <w:p>
      <w:pPr/>
      <w:r>
        <w:t xml:space="preserve">Sophus</w:t>
      </w:r>
    </w:p>
    <w:p>
      <w:pPr>
        <w:pStyle w:val="dingding-heading1"/>
        <w:spacing w:line="204.70588235294116"/>
      </w:pPr>
      <w:r>
        <w:rPr>
          <w:sz w:val="40"/>
          <w:b w:val="1"/>
        </w:rPr>
        <w:t xml:space="preserve">相机内参标定</w:t>
      </w:r>
    </w:p>
    <w:p>
      <w:pPr>
        <w:spacing/>
      </w:pPr>
      <w:r>
        <w:t xml:space="preserve">先进行相机的内参标定，可以参考如下文档进行相机的内参标定</w:t>
      </w:r>
    </w:p>
    <w:p>
      <w:pPr>
        <w:spacing/>
      </w:pPr>
      <w:r/>
      <w:hyperlink r:id="rId4">
        <w:r>
          <w:rPr>
            <w:rStyle w:val="hyperlink"/>
          </w:rPr>
          <w:t xml:space="preserve">https://blog.csdn.net/wakeup_high/article/details/138030786</w:t>
        </w:r>
      </w:hyperlink>
      <w:r/>
    </w:p>
    <w:p>
      <w:pPr>
        <w:spacing/>
      </w:pPr>
      <w:r>
        <w:rPr>
          <w:b w:val="1"/>
        </w:rPr>
        <w:t xml:space="preserve">要求：四个参数全部变成全长绿色，才可认为标定完成</w:t>
      </w:r>
    </w:p>
    <w:p>
      <w:pPr>
        <w:spacing/>
      </w:pPr>
      <w:r>
        <w:t xml:space="preserve">内参标定误差：可以通过直线检测，来统计最后的标定误差</w:t>
      </w:r>
    </w:p>
    <w:p>
      <w:pPr>
        <w:pStyle w:val="dingding-heading1"/>
        <w:spacing w:line="204.70588235294116"/>
      </w:pPr>
      <w:r>
        <w:rPr>
          <w:sz w:val="40"/>
          <w:b w:val="1"/>
        </w:rPr>
        <w:t xml:space="preserve">录取数据的topic or 现场直接标定</w:t>
      </w:r>
    </w:p>
    <w:p>
      <w:pPr>
        <w:spacing/>
      </w:pPr>
      <w:r>
        <w:t xml:space="preserve">相机内参标定完成后，有了相机的内参就可以用联合标定工具进行相机和激光雷达的联合标定</w:t>
      </w:r>
    </w:p>
    <w:p>
      <w:pPr>
        <w:spacing/>
      </w:pPr>
      <w:r>
        <w:t xml:space="preserve">本工具都打包在文件夹名称：livox_cam_calib中</w:t>
      </w:r>
    </w:p>
    <w:p>
      <w:pPr>
        <w:pStyle w:val="dingding-heading2"/>
        <w:spacing w:line="204.70588235294116"/>
      </w:pPr>
      <w:r>
        <w:rPr>
          <w:sz w:val="32"/>
          <w:b w:val="1"/>
        </w:rPr>
        <w:t xml:space="preserve">标定数据要求</w:t>
      </w:r>
    </w:p>
    <w:p>
      <w:pPr/>
      <w:r>
        <w:t xml:space="preserve">在安装叉齿前，固定好相机和激光雷达的位置；</w:t>
      </w:r>
      <w:r>
        <w:rPr>
          <w:b w:val="1"/>
        </w:rPr>
        <w:t xml:space="preserve">至少进行远，近，左，右，前方不同位置</w:t>
      </w:r>
      <w:r>
        <w:t xml:space="preserve">的标定板数据采集</w:t>
      </w:r>
    </w:p>
    <w:p>
      <w:pPr/>
      <w:r>
        <w:t xml:space="preserve">录制话题   </w:t>
      </w:r>
    </w:p>
    <w:p>
      <w:pPr/>
      <w:r>
        <w:t xml:space="preserve">lidar: /livox/lidar_192_168_1_205  </w:t>
      </w:r>
    </w:p>
    <w:p>
      <w:pPr/>
      <w:r>
        <w:t xml:space="preserve">camera: /camera_back_l/image_raw </w:t>
      </w:r>
    </w:p>
    <w:p>
      <w:pPr/>
      <w:r>
        <w:t xml:space="preserve">话题没有的话在录制脚本中自行填写</w:t>
      </w:r>
    </w:p>
    <w:p>
      <w:pPr>
        <w:pStyle w:val="dingding-heading2"/>
        <w:spacing w:line="204.70588235294116"/>
      </w:pPr>
      <w:r>
        <w:rPr>
          <w:sz w:val="32"/>
          <w:b w:val="1"/>
        </w:rPr>
        <w:t xml:space="preserve">操作流程</w:t>
      </w:r>
    </w:p>
    <w:p>
      <w:pPr>
        <w:pStyle w:val="dingding-heading3"/>
        <w:numPr>
          <w:ilvl w:val="2"/>
          <w:numId w:val="1"/>
        </w:numPr>
        <w:spacing w:line="204.70588235294116"/>
      </w:pPr>
      <w:r>
        <w:rPr>
          <w:sz w:val="28"/>
          <w:b w:val="1"/>
        </w:rPr>
        <w:t xml:space="preserve">配置参数</w:t>
      </w:r>
    </w:p>
    <w:p>
      <w:pPr>
        <w:ind/>
      </w:pPr>
      <w:r>
        <w:rPr>
          <w:b w:val="1"/>
        </w:rPr>
        <w:t xml:space="preserve">livox_cam_calib/src/config/app.yaml: </w:t>
      </w:r>
      <w:r>
        <w:t xml:space="preserve">此文件中主要涉及相机的内参，畸变信息，图像尺寸，标定板的尺寸（宽*高），网格大小</w:t>
      </w:r>
    </w:p>
    <w:p>
      <w:pPr>
        <w:ind/>
      </w:pPr>
      <w:r>
        <w:t xml:space="preserve">通过上一步完成的相机内参，进行填写</w:t>
      </w:r>
    </w:p>
    <w:p>
      <w:pPr>
        <w:ind/>
      </w:pPr>
      <w:r>
        <w:rPr>
          <w:b w:val="1"/>
        </w:rPr>
        <w:t xml:space="preserve">livox_cam_calib/src/launch/colored_pointcloud_node161.launch: </w:t>
      </w:r>
      <w:r>
        <w:t xml:space="preserve">节点启动配置文件</w:t>
      </w:r>
    </w:p>
    <w:p>
      <w:pPr>
        <w:ind/>
      </w:pPr>
      <w:r/>
      <w:r>
        <w:drawing>
          <wp:inline distT="0" distB="0" distL="0" distR="0">
            <wp:extent cx="7124700" cy="2883147"/>
            <wp:effectExtent b="0" l="0" r="0" t="0"/>
            <wp:docPr id="1"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pic:blipFill>
                  <pic:spPr>
                    <a:xfrm rot="0">
                      <a:off x="0" y="0"/>
                      <a:ext cx="7124700" cy="2883147"/>
                    </a:xfrm>
                    <a:prstGeom prst="rect">
                      <a:avLst/>
                    </a:prstGeom>
                  </pic:spPr>
                </pic:pic>
              </a:graphicData>
            </a:graphic>
          </wp:inline>
        </w:drawing>
      </w:r>
      <w:r/>
    </w:p>
    <w:p>
      <w:pPr/>
      <w:r>
        <w:t xml:space="preserve">在这个文件中，主要检查Camera和lidar的topic是否要修改</w:t>
      </w:r>
    </w:p>
    <w:p>
      <w:pPr/>
      <w:r>
        <w:t xml:space="preserve">标定结果数据路径需要配置result_save_file_path</w:t>
      </w:r>
    </w:p>
    <w:p>
      <w:pPr/>
      <w:r>
        <w:t xml:space="preserve">标定数据的数量，bag_num默认6帧</w:t>
      </w:r>
    </w:p>
    <w:p>
      <w:pPr>
        <w:pStyle w:val="dingding-heading3"/>
        <w:numPr>
          <w:ilvl w:val="2"/>
          <w:numId w:val="1"/>
        </w:numPr>
        <w:spacing w:line="204.70588235294116"/>
      </w:pPr>
      <w:r>
        <w:rPr>
          <w:sz w:val="28"/>
          <w:b w:val="1"/>
        </w:rPr>
        <w:t xml:space="preserve">编译启动</w:t>
      </w:r>
    </w:p>
    <w:p>
      <w:pPr/>
      <w:r>
        <w:t xml:space="preserve">完成1中的参数配置后，进行程序编译</w:t>
      </w:r>
    </w:p>
    <w:p>
      <w:pPr/>
      <w:r>
        <w:t xml:space="preserve">catkin_make install </w:t>
      </w:r>
    </w:p>
    <w:p>
      <w:pPr/>
      <w:r>
        <w:t xml:space="preserve">source install/setup.bash</w:t>
      </w:r>
    </w:p>
    <w:p>
      <w:pPr/>
      <w:r>
        <w:t xml:space="preserve">roslaunch livox_cam_calib colored_pointcloud_node161.launch</w:t>
      </w:r>
    </w:p>
    <w:p>
      <w:pPr/>
      <w:r>
        <w:t xml:space="preserve">启动后, 会弹出rviz界面</w:t>
      </w:r>
    </w:p>
    <w:p>
      <w:pPr/>
      <w:r/>
      <w:r>
        <w:drawing>
          <wp:inline distT="0" distB="0" distL="0" distR="0">
            <wp:extent cx="7124700" cy="3815210"/>
            <wp:effectExtent b="0" l="0" r="0" t="0"/>
            <wp:docPr id="2"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pic:blipFill>
                  <pic:spPr>
                    <a:xfrm rot="0">
                      <a:off x="0" y="0"/>
                      <a:ext cx="7124700" cy="3815210"/>
                    </a:xfrm>
                    <a:prstGeom prst="rect">
                      <a:avLst/>
                    </a:prstGeom>
                  </pic:spPr>
                </pic:pic>
              </a:graphicData>
            </a:graphic>
          </wp:inline>
        </w:drawing>
      </w:r>
      <w:r/>
    </w:p>
    <w:p>
      <w:pPr>
        <w:pStyle w:val="dingding-heading3"/>
        <w:numPr>
          <w:ilvl w:val="2"/>
          <w:numId w:val="1"/>
        </w:numPr>
        <w:spacing w:line="204.70588235294116"/>
      </w:pPr>
      <w:r>
        <w:rPr>
          <w:sz w:val="28"/>
          <w:b w:val="1"/>
        </w:rPr>
        <w:t xml:space="preserve">数据回放</w:t>
      </w:r>
    </w:p>
    <w:p>
      <w:pPr/>
      <w:r>
        <w:t xml:space="preserve">进行数据回放</w:t>
      </w:r>
    </w:p>
    <w:p>
      <w:pPr/>
      <w:r>
        <w:t xml:space="preserve">rosbag play -l xxxxx.bag</w:t>
      </w:r>
    </w:p>
    <w:p>
      <w:pPr>
        <w:pStyle w:val="dingding-heading3"/>
        <w:numPr>
          <w:ilvl w:val="2"/>
          <w:numId w:val="1"/>
        </w:numPr>
        <w:spacing w:line="204.70588235294116"/>
      </w:pPr>
      <w:r>
        <w:rPr>
          <w:sz w:val="28"/>
          <w:b w:val="1"/>
        </w:rPr>
        <w:t xml:space="preserve">选取lidar和camera数据</w:t>
      </w:r>
    </w:p>
    <w:p>
      <w:pPr/>
      <w:r>
        <w:t xml:space="preserve">在程序启动的terminal， 按n 进行点云和相机数据抓取</w:t>
      </w:r>
    </w:p>
    <w:p>
      <w:pPr/>
      <w:r/>
      <w:r>
        <w:drawing>
          <wp:inline distT="0" distB="0" distL="0" distR="0">
            <wp:extent cx="7124700" cy="1039349"/>
            <wp:effectExtent b="0" l="0" r="0" t="0"/>
            <wp:docPr id="3"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pic:blipFill>
                  <pic:spPr>
                    <a:xfrm rot="0">
                      <a:off x="0" y="0"/>
                      <a:ext cx="7124700" cy="1039349"/>
                    </a:xfrm>
                    <a:prstGeom prst="rect">
                      <a:avLst/>
                    </a:prstGeom>
                  </pic:spPr>
                </pic:pic>
              </a:graphicData>
            </a:graphic>
          </wp:inline>
        </w:drawing>
      </w:r>
      <w:r/>
    </w:p>
    <w:p>
      <w:pPr/>
      <w:r>
        <w:t xml:space="preserve">抓取成功后，终端会显示角点检测成功！</w:t>
      </w:r>
    </w:p>
    <w:p>
      <w:pPr/>
      <w:r>
        <w:t xml:space="preserve">rviz会显示对应的点云</w:t>
      </w:r>
    </w:p>
    <w:p>
      <w:pPr/>
      <w:r/>
      <w:r>
        <w:drawing>
          <wp:inline distT="0" distB="0" distL="0" distR="0">
            <wp:extent cx="7124700" cy="3782248"/>
            <wp:effectExtent b="0" l="0" r="0" t="0"/>
            <wp:docPr id="4"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pic:blipFill>
                  <pic:spPr>
                    <a:xfrm rot="0">
                      <a:off x="0" y="0"/>
                      <a:ext cx="7124700" cy="3782248"/>
                    </a:xfrm>
                    <a:prstGeom prst="rect">
                      <a:avLst/>
                    </a:prstGeom>
                  </pic:spPr>
                </pic:pic>
              </a:graphicData>
            </a:graphic>
          </wp:inline>
        </w:drawing>
      </w:r>
      <w:r/>
    </w:p>
    <w:p>
      <w:pPr>
        <w:pStyle w:val="dingding-heading3"/>
        <w:numPr>
          <w:ilvl w:val="2"/>
          <w:numId w:val="1"/>
        </w:numPr>
        <w:spacing w:line="204.70588235294116"/>
      </w:pPr>
      <w:r>
        <w:rPr>
          <w:sz w:val="28"/>
          <w:b w:val="1"/>
        </w:rPr>
        <w:t xml:space="preserve">检查角点检测的精度</w:t>
      </w:r>
    </w:p>
    <w:p>
      <w:pPr/>
      <w:r>
        <w:t xml:space="preserve">然后通过pulish point功能，进行标定板选取（中间位置），标定板的点云角点会自动计算出来</w:t>
      </w:r>
    </w:p>
    <w:p>
      <w:pPr/>
      <w:r>
        <w:t xml:space="preserve">如下图</w:t>
      </w:r>
    </w:p>
    <w:p>
      <w:pPr/>
      <w:r/>
      <w:r>
        <w:drawing>
          <wp:inline distT="0" distB="0" distL="0" distR="0">
            <wp:extent cx="7124700" cy="4462537"/>
            <wp:effectExtent b="0" l="0" r="0" t="0"/>
            <wp:docPr id="5"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pic:blipFill>
                  <pic:spPr>
                    <a:xfrm rot="0">
                      <a:off x="0" y="0"/>
                      <a:ext cx="7124700" cy="4462537"/>
                    </a:xfrm>
                    <a:prstGeom prst="rect">
                      <a:avLst/>
                    </a:prstGeom>
                  </pic:spPr>
                </pic:pic>
              </a:graphicData>
            </a:graphic>
          </wp:inline>
        </w:drawing>
      </w:r>
      <w:r/>
    </w:p>
    <w:p>
      <w:pPr>
        <w:pStyle w:val="dingding-heading3"/>
        <w:numPr>
          <w:ilvl w:val="2"/>
          <w:numId w:val="1"/>
        </w:numPr>
        <w:spacing w:line="204.70588235294116"/>
      </w:pPr>
      <w:r>
        <w:rPr>
          <w:sz w:val="28"/>
          <w:b w:val="1"/>
        </w:rPr>
        <w:t xml:space="preserve">检查点云角点质量</w:t>
      </w:r>
    </w:p>
    <w:p>
      <w:pPr/>
      <w:r>
        <w:t xml:space="preserve">通过查看相机角点检测位置和点云位置，筛选有质量的标定数据</w:t>
      </w:r>
    </w:p>
    <w:p>
      <w:pPr/>
      <w:r/>
      <w:r>
        <w:drawing>
          <wp:inline distT="0" distB="0" distL="0" distR="0">
            <wp:extent cx="7124700" cy="3850686"/>
            <wp:effectExtent b="0" l="0" r="0" t="0"/>
            <wp:docPr id="6"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pic:blipFill>
                  <pic:spPr>
                    <a:xfrm rot="0">
                      <a:off x="0" y="0"/>
                      <a:ext cx="7124700" cy="3850686"/>
                    </a:xfrm>
                    <a:prstGeom prst="rect">
                      <a:avLst/>
                    </a:prstGeom>
                  </pic:spPr>
                </pic:pic>
              </a:graphicData>
            </a:graphic>
          </wp:inline>
        </w:drawing>
      </w:r>
      <w:r/>
    </w:p>
    <w:p>
      <w:pPr>
        <w:pStyle w:val="dingding-heading3"/>
        <w:numPr>
          <w:ilvl w:val="2"/>
          <w:numId w:val="1"/>
        </w:numPr>
        <w:spacing w:line="204.70588235294116"/>
      </w:pPr>
      <w:r>
        <w:rPr>
          <w:sz w:val="28"/>
          <w:b w:val="1"/>
        </w:rPr>
        <w:t xml:space="preserve">记录标定数据</w:t>
      </w:r>
    </w:p>
    <w:p>
      <w:pPr/>
      <w:r>
        <w:t xml:space="preserve">完成上一步的角点质量检测后，再程序运行终端按k，程序会记录下当前帧的数据，并且会把camera和lidar的角点检测信息，图像，保存下来</w:t>
      </w:r>
    </w:p>
    <w:p>
      <w:pPr>
        <w:pStyle w:val="dingding-heading3"/>
        <w:numPr>
          <w:ilvl w:val="2"/>
          <w:numId w:val="1"/>
        </w:numPr>
        <w:spacing w:line="204.70588235294116"/>
      </w:pPr>
      <w:r>
        <w:rPr>
          <w:sz w:val="28"/>
          <w:b w:val="1"/>
        </w:rPr>
        <w:t xml:space="preserve">计算外参</w:t>
      </w:r>
    </w:p>
    <w:p>
      <w:pPr/>
      <w:r>
        <w:t xml:space="preserve">重复步骤1-7</w:t>
      </w:r>
    </w:p>
    <w:p>
      <w:pPr/>
      <w:r>
        <w:t xml:space="preserve">采集的数量达到配置的数量后，程序则自动利用标定的数据进行外参矩阵的解算</w:t>
      </w:r>
    </w:p>
    <w:p>
      <w:pPr/>
      <w:r>
        <w:t xml:space="preserve">会弹出相应的投影图片，投影结果也会保存到指定路径</w:t>
      </w:r>
    </w:p>
    <w:p>
      <w:pPr>
        <w:pStyle w:val="dingding-heading3"/>
        <w:numPr>
          <w:ilvl w:val="2"/>
          <w:numId w:val="1"/>
        </w:numPr>
        <w:spacing w:line="204.70588235294116"/>
      </w:pPr>
      <w:r>
        <w:rPr>
          <w:sz w:val="28"/>
          <w:b w:val="1"/>
        </w:rPr>
        <w:t xml:space="preserve">最后检查结果，输出保存外参</w:t>
      </w:r>
    </w:p>
    <w:p>
      <w:pPr/>
      <w:r>
        <w:t xml:space="preserve">通过检查投影结果，和误差，来判断此次标定是否满足要求</w:t>
      </w:r>
    </w:p>
    <w:p>
      <w:pPr/>
      <w:r/>
      <w:r>
        <w:drawing>
          <wp:inline distT="0" distB="0" distL="0" distR="0">
            <wp:extent cx="7124700" cy="4087762"/>
            <wp:effectExtent b="0" l="0" r="0" t="0"/>
            <wp:docPr id="7"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pic:blipFill>
                  <pic:spPr>
                    <a:xfrm rot="0">
                      <a:off x="0" y="0"/>
                      <a:ext cx="7124700" cy="4087762"/>
                    </a:xfrm>
                    <a:prstGeom prst="rect">
                      <a:avLst/>
                    </a:prstGeom>
                  </pic:spPr>
                </pic:pic>
              </a:graphicData>
            </a:graphic>
          </wp:inline>
        </w:drawing>
      </w:r>
      <w:r/>
    </w:p>
    <w:p>
      <w:pPr/>
      <w:r/>
    </w:p>
    <w:p>
      <w:pPr/>
      <w:r>
        <w:t xml:space="preserve">外参自动保存在指定路径下</w:t>
      </w:r>
    </w:p>
    <w:p>
      <w:pPr/>
      <w:r>
        <w:t xml:space="preserve">extrinsicParams.txt</w:t>
      </w:r>
    </w:p>
    <w:p>
      <w:pPr/>
      <w:r/>
    </w:p>
    <w:p>
      <w:pPr/>
      <w:r/>
    </w:p>
    <w:sectPr>
      <w:pgSz w:w="13380" w:h="16905"/>
      <w:pgMar w:top="720" w:right="1080" w:bottom="720" w:left="1080" w:header="850.95" w:footer="991.95" w:gutter="0"/>
      <w:type w:val="nextPage"/>
    </w:sectPr>
  </w:body>
</w:document>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lvl w:ilvl="2">
      <w:start w:val="1"/>
      <w:numFmt w:val="decimal"/>
      <w:lvlText w:val="%1"/>
      <w:lvlJc w:val="left"/>
      <w:pPr>
        <w:ind w:left="1260" w:hanging="420"/>
      </w:pPr>
      <w:rPr/>
    </w:lvl>
  </w:abstractNum>
  <w:num w:numId="1">
    <w:abstractNumId w:val="0"/>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cid="http://schemas.microsoft.com/office/word/2016/wordml/cid" xmlns:w16se="http://schemas.microsoft.com/office/word/2015/wordml/symex" xmlns:sl="http://schemas.openxmlformats.org/schemaLibrary/2006/main" mc:Ignorable="w14 w15 w16se w16cid">
  <w:displayBackgroundShape/>
  <w:bordersDoNotSurroundFooter/>
  <w:bordersDoNotSurroundHead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1"/>
        <w:rFonts w:asciiTheme="minorHAnsi" w:hAnsiTheme="minorHAnsi" w:cstheme="minorBidi" w:eastAsiaTheme="minorEastAsia"/>
        <w:kern w:val="2"/>
      </w:rPr>
    </w:rPrDefault>
    <w:pPrDefault/>
  </w:docDefaults>
  <w:style w:type="table" w:default="0" w:styleId="TableGrid">
    <w:name w:val="Table Grid"/>
    <w:basedOn w:val="Normal Table"/>
    <w:tblPr>
      <w:tblBorders>
        <w:left w:val="single" w:sz="6" w:space="0" w:color="000000"/>
        <w:right w:val="single" w:sz="6" w:space="0" w:color="000000"/>
        <w:top w:val="single" w:sz="6" w:space="0" w:color="000000"/>
        <w:bottom w:val="single" w:sz="6" w:space="0" w:color="000000"/>
        <w:insideH w:val="single" w:sz="6" w:space="0" w:color="000000"/>
        <w:insideV w:val="single" w:sz="6" w:space="0" w:color="000000"/>
      </w:tblBorders>
      <w:tblW w:w="0" w:type="auto"/>
    </w:tblPr>
    <w:tcPr/>
  </w:style>
  <w:style w:type="paragraph" w:default="0" w:styleId="dingding-heading1">
    <w:name w:val="heading 1"/>
    <w:basedOn w:val="NormalParagraph"/>
    <w:tcPr/>
    <w:pPr>
      <w:keepLines w:val="1"/>
      <w:keepNext w:val="1"/>
      <w:spacing w:before="348" w:after="210" w:lineRule="auto"/>
    </w:pPr>
    <w:rPr>
      <w:sz w:val="34"/>
      <w:b w:val="1"/>
    </w:rPr>
  </w:style>
  <w:style w:type="paragraph" w:default="0" w:styleId="dingding-heading2">
    <w:name w:val="heading 2"/>
    <w:basedOn w:val="NormalParagraph"/>
    <w:tcPr/>
    <w:pPr>
      <w:keepLines w:val="1"/>
      <w:keepNext w:val="1"/>
      <w:spacing w:before="348" w:after="190" w:lineRule="auto"/>
    </w:pPr>
    <w:rPr>
      <w:sz w:val="28"/>
      <w:b w:val="1"/>
    </w:rPr>
  </w:style>
  <w:style w:type="paragraph" w:default="0" w:styleId="dingding-heading3">
    <w:name w:val="heading 3"/>
    <w:basedOn w:val="NormalParagraph"/>
    <w:tcPr/>
    <w:pPr>
      <w:keepLines w:val="1"/>
      <w:keepNext w:val="1"/>
      <w:spacing w:before="348" w:after="170" w:lineRule="auto"/>
    </w:pPr>
    <w:rPr>
      <w:sz w:val="22"/>
      <w:b w:val="1"/>
    </w:rPr>
  </w:style>
  <w:style w:type="paragraph" w:default="1" w:styleId="docDefaults">
    <w:name w:val="dingdocnormal"/>
    <w:tcPr/>
    <w:pPr>
      <w:spacing/>
    </w:pPr>
    <w:rPr>
      <w:sz w:val="24"/>
    </w:rPr>
  </w:style>
  <w:style w:type="character" w:default="0" w:styleId="hyperlink">
    <w:name w:val="Hyperlink"/>
    <w:basedOn w:val="NormalCharacter"/>
    <w:tcPr/>
    <w:rPr>
      <w:color w:val="0563C1"/>
      <w:u w:val="single"/>
    </w:rPr>
  </w:style>
</w:styles>
</file>

<file path=word/_rels/document.xml.rels><?xml version="1.0" encoding="UTF-8"?>
<Relationships xmlns="http://schemas.openxmlformats.org/package/2006/relationships">
  <Relationship Id="rId4" Type="http://schemas.openxmlformats.org/officeDocument/2006/relationships/hyperlink" Target="https://blog.csdn.net/wakeup_high/article/details/138030786" TargetMode="External" />
  <Relationship Id="rId5" Type="http://schemas.openxmlformats.org/officeDocument/2006/relationships/image" Target="media/image1.png" />
  <Relationship Id="rId6" Type="http://schemas.openxmlformats.org/officeDocument/2006/relationships/image" Target="media/image2.png" />
  <Relationship Id="rId7" Type="http://schemas.openxmlformats.org/officeDocument/2006/relationships/image" Target="media/image3.png" />
  <Relationship Id="rId8" Type="http://schemas.openxmlformats.org/officeDocument/2006/relationships/image" Target="media/image4.png" />
  <Relationship Id="rId9" Type="http://schemas.openxmlformats.org/officeDocument/2006/relationships/image" Target="media/image5.png" />
  <Relationship Id="rId10" Type="http://schemas.openxmlformats.org/officeDocument/2006/relationships/image" Target="media/image6.png" />
  <Relationship Id="rId11" Type="http://schemas.openxmlformats.org/officeDocument/2006/relationships/image" Target="media/image7.png" />
  <Relationship Id="rId1" Type="http://schemas.openxmlformats.org/officeDocument/2006/relationships/styles" Target="styles.xml" />
  <Relationship Id="rId2" Type="http://schemas.openxmlformats.org/officeDocument/2006/relationships/settings" Target="settings.xml" />
  <Relationship Id="rId3" Type="http://schemas.openxmlformats.org/officeDocument/2006/relationships/numbering" Target="numbering.xml"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DingTalk</dc:creator>
  <cp:lastModifiedBy>DingTalk</cp:lastModifiedBy>
  <dcterms:modified xsi:type="dcterms:W3CDTF">1970-01-01T00:00:00Z</dcterms:modified>
  <cp:revision>1</cp:revision>
  <dc:description>DingTalk Document</dc:description>
  <dc:language>ZN_CH</dc:language>
</cp:coreProperties>
</file>