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中英双语IT服务合同</w:t>
      </w:r>
    </w:p>
    <w:p>
      <w:pPr>
        <w:jc w:val="center"/>
      </w:pPr>
      <w:r>
        <w:rPr>
          <w:color w:val="5F5F5F"/>
          <w:sz w:val="20"/>
        </w:rPr>
        <w:t>Chinese-English Bilingual IT Services Agreement | 双栏对照排版约15页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Client / 客户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北京海衡数据科技有限公司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Provider / 服务商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NovaCloud Solutions Pte. Ltd.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Term / 期限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2026-06-01 to 2027-05-31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Fee / 费用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USD 420,000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Governing Law / 法律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Laws of Singapore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Dispute / 争议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SIAC arbitration in Singapore</w:t>
            </w:r>
          </w:p>
        </w:tc>
      </w:tr>
    </w:tbl>
    <w:p/>
    <w:p>
      <w:pPr>
        <w:pStyle w:val="Heading2"/>
      </w:pPr>
      <w:r>
        <w:t>1. Scope of Services / 服务范围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Provider shall design, deploy and maintain a cloud-based contract analytics platform, including data ingestion, model tuning, API integration and user training.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服务商应设计、部署并维护一套云端合同分析平台，包括数据接入、模型调优、API集成及用户培训。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2 / 15</w:t>
      </w:r>
    </w:p>
    <w:p>
      <w:pPr>
        <w:pStyle w:val="Heading2"/>
      </w:pPr>
      <w:r>
        <w:t>2. Deliverables / 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Deliverables include source code repositories, deployment scripts, architecture diagrams, acceptance reports and monthly operation summaries.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交付物包括源代码仓库、部署脚本、架构图、验收报告及月度运维摘要。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3 / 15</w:t>
      </w:r>
    </w:p>
    <w:p>
      <w:pPr>
        <w:pStyle w:val="Heading2"/>
      </w:pPr>
      <w:r>
        <w:t>3. Service Levels / 服务水平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Provider will use commercially reasonable efforts to maintain 99.5% monthly availability. Critical incidents should be responded to within a reasonable time.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服务商应以商业上合理努力维持99.5%的月可用性。重大故障应在合理时间内响应。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4 / 15</w:t>
      </w:r>
    </w:p>
    <w:p>
      <w:pPr>
        <w:pStyle w:val="Heading2"/>
      </w:pPr>
      <w:r>
        <w:t>4. Fees and Payment / 费用与付款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Client shall pay quarterly in arrears within seventy-five (75) days after receiving a valid invoice.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客户应在收到有效发票后七十五（75）日内按季度后付。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5 / 15</w:t>
      </w:r>
    </w:p>
    <w:p>
      <w:pPr>
        <w:pStyle w:val="Heading2"/>
      </w:pPr>
      <w:r>
        <w:t>5. Change Requests / 变更请求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Client may request changes at any time. Provider shall implement urgent changes first and discuss fee adjustments later.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客户可随时提出变更。服务商应先行实施紧急变更，费用调整事后协商。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6 / 15</w:t>
      </w:r>
    </w:p>
    <w:p>
      <w:pPr>
        <w:pStyle w:val="Heading2"/>
      </w:pPr>
      <w:r>
        <w:t>6. Data Protection / 数据保护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Provider may process personal data in approved regions and may use subcontractors for support, provided that it remains responsible for their acts.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服务商可在批准区域处理个人数据，并可使用分包商提供支持，但应对分包商行为负责。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7 / 15</w:t>
      </w:r>
    </w:p>
    <w:p>
      <w:pPr>
        <w:pStyle w:val="Heading2"/>
      </w:pPr>
      <w:r>
        <w:t>7. Intellectual Property / 知识产权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Pre-existing materials remain owned by the original owner. Work product specifically developed for Client shall be assigned to Client upon full payment.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既有材料归原权利人所有。专为客户开发的工作成果在客户全额付款后转让给客户。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8 / 15</w:t>
      </w:r>
    </w:p>
    <w:p>
      <w:pPr>
        <w:pStyle w:val="Heading2"/>
      </w:pPr>
      <w:r>
        <w:t>8. Confidentiality / 保密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Each party shall protect confidential information for two (2) years after disclosure.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双方应自披露之日起两（2）年内保护保密信息。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9 / 15</w:t>
      </w:r>
    </w:p>
    <w:p>
      <w:pPr>
        <w:pStyle w:val="Heading2"/>
      </w:pPr>
      <w:r>
        <w:t>9. Limitation of Liability / 责任限制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Provider's aggregate liability shall not exceed fees paid in the preceding three months; however, Client's payment obligations are uncapped.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服务商累计责任不超过前三个月已支付费用；但客户付款义务不受限制。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10 / 15</w:t>
      </w:r>
    </w:p>
    <w:p>
      <w:pPr>
        <w:pStyle w:val="Heading2"/>
      </w:pPr>
      <w:r>
        <w:t>10. Termination / 终止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Client may terminate for convenience with ten days' notice. Provider may terminate only for material breach not cured within thirty days.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客户可提前十日无理由终止。服务商仅可在重大违约且三十日内未补救时终止。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11 / 15</w:t>
      </w:r>
    </w:p>
    <w:p>
      <w:pPr>
        <w:pStyle w:val="Heading2"/>
      </w:pPr>
      <w:r>
        <w:t>11. Audit / 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Client may audit Provider's systems upon five business days' notice no more than twice per year.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客户可提前五个工作日通知审计服务商系统，每年不超过两次。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12 / 15</w:t>
      </w:r>
    </w:p>
    <w:p>
      <w:pPr>
        <w:pStyle w:val="Heading2"/>
      </w:pPr>
      <w:r>
        <w:t>12. Export Control / 出口管制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The parties shall comply with applicable export control and sanctions laws.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双方应遵守适用的出口管制与制裁法律。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13 / 15</w:t>
      </w:r>
    </w:p>
    <w:p>
      <w:pPr>
        <w:pStyle w:val="Heading2"/>
      </w:pPr>
      <w:r>
        <w:t>13. Governing Language / 语言效力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If there is any inconsistency, the English version shall prevail.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如中英文存在不一致，以中文版本为准。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14 / 15</w:t>
      </w:r>
    </w:p>
    <w:p>
      <w:pPr>
        <w:pStyle w:val="Heading2"/>
      </w:pPr>
      <w:r>
        <w:t>14. Notices / 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Notices shall be sent to the addresses stated in the order form and are deemed received upon email delivery confirmation.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通知应发送至订单中列明地址，并在电子邮件发送确认时视为送达。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15 / 15</w:t>
      </w:r>
    </w:p>
    <w:p>
      <w:pPr>
        <w:pStyle w:val="Heading2"/>
      </w:pPr>
      <w:r>
        <w:t>15. Miscellaneous / 其他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This Agreement constitutes the entire agreement and supersedes prior discussions.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本合同构成双方完整协议，并取代此前讨论。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仅供黑客松测试使用，不构成真实法律文件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中英双语IT服务合同 | IT-SVC-2026-0515 | 主办方模拟测试样本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