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36"/>
        </w:rPr>
        <w:t>Standard Mutual Non-Disclosure Agreement</w:t>
      </w:r>
    </w:p>
    <w:p>
      <w:pPr>
        <w:jc w:val="center"/>
      </w:pPr>
      <w:r>
        <w:rPr>
          <w:color w:val="5F5F5F"/>
          <w:sz w:val="20"/>
        </w:rPr>
        <w:t>English Original | Approx. 5-page sample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Disclosing Party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Atlas Robotics Inc.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Receiving Party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BrightWorks Analytics LLC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Effective Date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May 15, 2026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Evaluation of AI compliance tools</w:t>
            </w:r>
          </w:p>
        </w:tc>
      </w:tr>
    </w:tbl>
    <w:p/>
    <w:p>
      <w:pPr>
        <w:pStyle w:val="Heading2"/>
      </w:pPr>
      <w:r>
        <w:t>1. Definition of Confidential Information</w:t>
      </w:r>
    </w:p>
    <w:p>
      <w:r>
        <w:t>Confidential Information means non-public business, technical, financial, customer, product, security and operational</w:t>
      </w:r>
    </w:p>
    <w:p>
      <w:r>
        <w:t>information disclosed by either party, whether orally, visually, electronically or in writing. Information marked</w:t>
      </w:r>
    </w:p>
    <w:p>
      <w:r>
        <w:t>confidential is covered, and unmarked information is covered where a reasonable person would understand its confidential</w:t>
      </w:r>
    </w:p>
    <w:p>
      <w:r>
        <w:t>nature.</w:t>
      </w:r>
    </w:p>
    <w:p>
      <w:pPr>
        <w:pStyle w:val="Heading2"/>
      </w:pPr>
      <w:r>
        <w:t>2. Exclusions</w:t>
      </w:r>
    </w:p>
    <w:p>
      <w:r>
        <w:t>Confidential Information does not include information that is publicly available without breach, already known without</w:t>
      </w:r>
    </w:p>
    <w:p>
      <w:r>
        <w:t>duty of confidentiality, independently developed without use of Confidential Information, or rightfully received from a</w:t>
      </w:r>
    </w:p>
    <w:p>
      <w:r>
        <w:t>third party without restriction.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2 / 5</w:t>
      </w:r>
    </w:p>
    <w:p>
      <w:pPr>
        <w:pStyle w:val="Heading2"/>
      </w:pPr>
      <w:r>
        <w:t>3. Use and Protection</w:t>
      </w:r>
    </w:p>
    <w:p>
      <w:r>
        <w:t>The Receiving Party shall use Confidential Information solely for the Purpose and protect it using at least reasonable</w:t>
      </w:r>
    </w:p>
    <w:p>
      <w:r>
        <w:t>care. Access may be given only to employees, affiliates and advisors who need to know and are bound by confidentiality</w:t>
      </w:r>
    </w:p>
    <w:p>
      <w:r>
        <w:t>obligations.</w:t>
      </w:r>
    </w:p>
    <w:p>
      <w:pPr>
        <w:pStyle w:val="Heading2"/>
      </w:pPr>
      <w:r>
        <w:t>4. Compelled Disclosure</w:t>
      </w:r>
    </w:p>
    <w:p>
      <w:r>
        <w:t>If legally required to disclose Confidential Information, the Receiving Party shall, where legally permitted, provide</w:t>
      </w:r>
    </w:p>
    <w:p>
      <w:r>
        <w:t>prompt notice and cooperate with reasonable protective measures.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3 / 5</w:t>
      </w:r>
    </w:p>
    <w:p>
      <w:pPr>
        <w:pStyle w:val="Heading2"/>
      </w:pPr>
      <w:r>
        <w:t>5. Term</w:t>
      </w:r>
    </w:p>
    <w:p>
      <w:r>
        <w:t>This Agreement begins on the Effective Date and continues for one year. Confidentiality obligations survive for eighteen</w:t>
      </w:r>
    </w:p>
    <w:p>
      <w:r>
        <w:t>months after disclosure.</w:t>
      </w:r>
    </w:p>
    <w:p>
      <w:pPr>
        <w:pStyle w:val="Heading2"/>
      </w:pPr>
      <w:r>
        <w:t>6. Return or Destruction</w:t>
      </w:r>
    </w:p>
    <w:p>
      <w:r>
        <w:t>Upon request, the Receiving Party shall return or destroy Confidential Information within a reasonable time, except</w:t>
      </w:r>
    </w:p>
    <w:p>
      <w:r>
        <w:t>archival copies retained for legal or compliance purposes.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4 / 5</w:t>
      </w:r>
    </w:p>
    <w:p>
      <w:pPr>
        <w:pStyle w:val="Heading2"/>
      </w:pPr>
      <w:r>
        <w:t>7. No License</w:t>
      </w:r>
    </w:p>
    <w:p>
      <w:r>
        <w:t>No license or transfer of intellectual property rights is granted except the limited right to use Confidential</w:t>
      </w:r>
    </w:p>
    <w:p>
      <w:r>
        <w:t>Information for the Purpose.</w:t>
      </w:r>
    </w:p>
    <w:p>
      <w:pPr>
        <w:pStyle w:val="Heading2"/>
      </w:pPr>
      <w:r>
        <w:t>8. Remedies</w:t>
      </w:r>
    </w:p>
    <w:p>
      <w:r>
        <w:t>Unauthorized disclosure may cause irreparable harm, and the Disclosing Party may seek injunctive relief in addition to</w:t>
      </w:r>
    </w:p>
    <w:p>
      <w:r>
        <w:t>other remedies.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5 / 5</w:t>
      </w:r>
    </w:p>
    <w:p>
      <w:pPr>
        <w:pStyle w:val="Heading2"/>
      </w:pPr>
      <w:r>
        <w:t>9. No Warranty</w:t>
      </w:r>
    </w:p>
    <w:p>
      <w:r>
        <w:t>All Confidential Information is provided as is. Neither party makes any representation regarding accuracy or</w:t>
      </w:r>
    </w:p>
    <w:p>
      <w:r>
        <w:t>completeness.</w:t>
      </w:r>
    </w:p>
    <w:p>
      <w:pPr>
        <w:pStyle w:val="Heading2"/>
      </w:pPr>
      <w:r>
        <w:t>10. Governing Law</w:t>
      </w:r>
    </w:p>
    <w:p>
      <w:r>
        <w:t>This Agreement is governed by the laws of the State of California. Courts located in Santa Clara County shall have</w:t>
      </w:r>
    </w:p>
    <w:p>
      <w:r>
        <w:t>exclusive jurisdiction.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仅供黑客松测试使用，不构成真实法律文件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Standard Mutual Non-Disclosure Agreement | NDA-2026-0515 | 主办方模拟测试样本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