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黑体"/>
          <w:b/>
          <w:sz w:val="36"/>
        </w:rPr>
        <w:t>含手写补充条款的劳动合同</w:t>
      </w:r>
    </w:p>
    <w:p>
      <w:pPr>
        <w:jc w:val="center"/>
      </w:pPr>
      <w:r>
        <w:rPr>
          <w:color w:val="5F5F5F"/>
          <w:sz w:val="20"/>
        </w:rPr>
        <w:t>混合OCR场景 | 约8页模拟样本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vAlign w:val="center"/>
            <w:shd w:fill="E8EEF5"/>
          </w:tcPr>
          <w:p>
            <w:r/>
            <w:r>
              <w:rPr>
                <w:b/>
                <w:sz w:val="18"/>
              </w:rPr>
              <w:t>字段</w:t>
            </w:r>
          </w:p>
        </w:tc>
        <w:tc>
          <w:tcPr>
            <w:tcW w:type="dxa" w:w="2353"/>
            <w:vAlign w:val="center"/>
            <w:shd w:fill="E8EEF5"/>
          </w:tcPr>
          <w:p>
            <w:r/>
            <w:r>
              <w:rPr>
                <w:b/>
                <w:sz w:val="18"/>
              </w:rPr>
              <w:t>内容</w:t>
            </w:r>
          </w:p>
        </w:tc>
        <w:tc>
          <w:tcPr>
            <w:tcW w:type="dxa" w:w="2353"/>
            <w:vAlign w:val="center"/>
            <w:shd w:fill="E8EEF5"/>
          </w:tcPr>
          <w:p>
            <w:r/>
            <w:r>
              <w:rPr>
                <w:b/>
                <w:sz w:val="18"/>
              </w:rPr>
              <w:t>字段</w:t>
            </w:r>
          </w:p>
        </w:tc>
        <w:tc>
          <w:tcPr>
            <w:tcW w:type="dxa" w:w="2353"/>
            <w:vAlign w:val="center"/>
            <w:shd w:fill="E8EEF5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2353"/>
            <w:vAlign w:val="center"/>
            <w:shd w:fill="F4F6F9"/>
          </w:tcPr>
          <w:p>
            <w:r/>
            <w:r>
              <w:rPr>
                <w:b/>
                <w:sz w:val="18"/>
              </w:rPr>
              <w:t>用人单位</w:t>
            </w:r>
          </w:p>
        </w:tc>
        <w:tc>
          <w:tcPr>
            <w:tcW w:type="dxa" w:w="2353"/>
            <w:vAlign w:val="center"/>
          </w:tcPr>
          <w:p>
            <w:r/>
            <w:r>
              <w:rPr>
                <w:b w:val="0"/>
                <w:sz w:val="18"/>
              </w:rPr>
              <w:t>杭州云堤科技有限公司</w:t>
            </w:r>
          </w:p>
        </w:tc>
        <w:tc>
          <w:tcPr>
            <w:tcW w:type="dxa" w:w="2353"/>
            <w:vAlign w:val="center"/>
            <w:shd w:fill="F4F6F9"/>
          </w:tcPr>
          <w:p>
            <w:r/>
            <w:r>
              <w:rPr>
                <w:b/>
                <w:sz w:val="18"/>
              </w:rPr>
              <w:t>劳动者</w:t>
            </w:r>
          </w:p>
        </w:tc>
        <w:tc>
          <w:tcPr>
            <w:tcW w:type="dxa" w:w="2353"/>
            <w:vAlign w:val="center"/>
          </w:tcPr>
          <w:p>
            <w:r/>
            <w:r>
              <w:rPr>
                <w:b w:val="0"/>
                <w:sz w:val="18"/>
              </w:rPr>
              <w:t>周雨晴</w:t>
            </w:r>
          </w:p>
        </w:tc>
      </w:tr>
      <w:tr>
        <w:tc>
          <w:tcPr>
            <w:tcW w:type="dxa" w:w="2353"/>
            <w:vAlign w:val="center"/>
            <w:shd w:fill="F4F6F9"/>
          </w:tcPr>
          <w:p>
            <w:r/>
            <w:r>
              <w:rPr>
                <w:b/>
                <w:sz w:val="18"/>
              </w:rPr>
              <w:t>身份证号</w:t>
            </w:r>
          </w:p>
        </w:tc>
        <w:tc>
          <w:tcPr>
            <w:tcW w:type="dxa" w:w="2353"/>
            <w:vAlign w:val="center"/>
          </w:tcPr>
          <w:p>
            <w:r/>
            <w:r>
              <w:rPr>
                <w:b w:val="0"/>
                <w:sz w:val="18"/>
              </w:rPr>
              <w:t>330106199607121234</w:t>
            </w:r>
          </w:p>
        </w:tc>
        <w:tc>
          <w:tcPr>
            <w:tcW w:type="dxa" w:w="2353"/>
            <w:vAlign w:val="center"/>
            <w:shd w:fill="F4F6F9"/>
          </w:tcPr>
          <w:p>
            <w:r/>
            <w:r>
              <w:rPr>
                <w:b/>
                <w:sz w:val="18"/>
              </w:rPr>
              <w:t>岗位</w:t>
            </w:r>
          </w:p>
        </w:tc>
        <w:tc>
          <w:tcPr>
            <w:tcW w:type="dxa" w:w="2353"/>
            <w:vAlign w:val="center"/>
          </w:tcPr>
          <w:p>
            <w:r/>
            <w:r>
              <w:rPr>
                <w:b w:val="0"/>
                <w:sz w:val="18"/>
              </w:rPr>
              <w:t>算法产品经理</w:t>
            </w:r>
          </w:p>
        </w:tc>
      </w:tr>
      <w:tr>
        <w:tc>
          <w:tcPr>
            <w:tcW w:type="dxa" w:w="2353"/>
            <w:vAlign w:val="center"/>
            <w:shd w:fill="F4F6F9"/>
          </w:tcPr>
          <w:p>
            <w:r/>
            <w:r>
              <w:rPr>
                <w:b/>
                <w:sz w:val="18"/>
              </w:rPr>
              <w:t>合同期限</w:t>
            </w:r>
          </w:p>
        </w:tc>
        <w:tc>
          <w:tcPr>
            <w:tcW w:type="dxa" w:w="2353"/>
            <w:vAlign w:val="center"/>
          </w:tcPr>
          <w:p>
            <w:r/>
            <w:r>
              <w:rPr>
                <w:b w:val="0"/>
                <w:sz w:val="18"/>
              </w:rPr>
              <w:t>2026-06-01 至 2029-05-31</w:t>
            </w:r>
          </w:p>
        </w:tc>
        <w:tc>
          <w:tcPr>
            <w:tcW w:type="dxa" w:w="2353"/>
            <w:vAlign w:val="center"/>
            <w:shd w:fill="F4F6F9"/>
          </w:tcPr>
          <w:p>
            <w:r/>
            <w:r>
              <w:rPr>
                <w:b/>
                <w:sz w:val="18"/>
              </w:rPr>
              <w:t>工作地点</w:t>
            </w:r>
          </w:p>
        </w:tc>
        <w:tc>
          <w:tcPr>
            <w:tcW w:type="dxa" w:w="2353"/>
            <w:vAlign w:val="center"/>
          </w:tcPr>
          <w:p>
            <w:r/>
            <w:r>
              <w:rPr>
                <w:b w:val="0"/>
                <w:sz w:val="18"/>
              </w:rPr>
              <w:t>杭州 / 可安排异地出差</w:t>
            </w:r>
          </w:p>
        </w:tc>
      </w:tr>
    </w:tbl>
    <w:p/>
    <w:p>
      <w:pPr>
        <w:pStyle w:val="Heading2"/>
      </w:pPr>
      <w:r>
        <w:t>第一条 合同期限</w:t>
      </w:r>
    </w:p>
    <w:p>
      <w:r>
        <w:t>本合同为固定期限劳动合同，自2026年6月1日起至2029年5月31日止，试用期为六个月。试用期工资按约定工资的80%执行。</w:t>
      </w:r>
    </w:p>
    <w:p>
      <w:r>
        <w:br w:type="page"/>
      </w:r>
    </w:p>
    <w:p>
      <w:pPr>
        <w:jc w:val="right"/>
      </w:pPr>
      <w:r>
        <w:rPr>
          <w:color w:val="969696"/>
          <w:sz w:val="16"/>
        </w:rPr>
        <w:t>第2页 / 8</w:t>
      </w:r>
    </w:p>
    <w:p>
      <w:pPr>
        <w:pStyle w:val="Heading2"/>
      </w:pPr>
      <w:r>
        <w:t>第二条 工作内容</w:t>
      </w:r>
    </w:p>
    <w:p>
      <w:r>
        <w:t>劳动者担任算法产品经理，负责需求分析、产品规划、客户沟通及模型评测。用人单位可根据经营需要调整劳动者岗位、职级、工作地点和汇报关系。</w:t>
      </w:r>
    </w:p>
    <w:p>
      <w:r>
        <w:br w:type="page"/>
      </w:r>
    </w:p>
    <w:p>
      <w:pPr>
        <w:jc w:val="right"/>
      </w:pPr>
      <w:r>
        <w:rPr>
          <w:color w:val="969696"/>
          <w:sz w:val="16"/>
        </w:rPr>
        <w:t>第3页 / 8</w:t>
      </w:r>
    </w:p>
    <w:p>
      <w:pPr>
        <w:pStyle w:val="Heading2"/>
      </w:pPr>
      <w:r>
        <w:t>第三条 工作时间与休息休假</w:t>
      </w:r>
    </w:p>
    <w:p>
      <w:r>
        <w:t>用人单位实行标准工时制。因项目紧急需要，劳动者应配合加班或线上响应。加班安排和补偿按公司制度执行。</w:t>
      </w:r>
    </w:p>
    <w:p>
      <w:r>
        <w:br w:type="page"/>
      </w:r>
    </w:p>
    <w:p>
      <w:pPr>
        <w:jc w:val="right"/>
      </w:pPr>
      <w:r>
        <w:rPr>
          <w:color w:val="969696"/>
          <w:sz w:val="16"/>
        </w:rPr>
        <w:t>第4页 / 8</w:t>
      </w:r>
    </w:p>
    <w:p>
      <w:pPr>
        <w:pStyle w:val="Heading2"/>
      </w:pPr>
      <w:r>
        <w:t>第四条 劳动报酬</w:t>
      </w:r>
    </w:p>
    <w:p>
      <w:r>
        <w:t>劳动者月基本工资为人民币32,000元，绩效奖金根据公司经营情况和个人绩效综合确定。用人单位可根据经营状况合理调整绩效奖金发放。</w:t>
      </w:r>
    </w:p>
    <w:p>
      <w:r>
        <w:br w:type="page"/>
      </w:r>
    </w:p>
    <w:p>
      <w:pPr>
        <w:jc w:val="right"/>
      </w:pPr>
      <w:r>
        <w:rPr>
          <w:color w:val="969696"/>
          <w:sz w:val="16"/>
        </w:rPr>
        <w:t>第5页 / 8</w:t>
      </w:r>
    </w:p>
    <w:p>
      <w:pPr>
        <w:pStyle w:val="Heading2"/>
      </w:pPr>
      <w:r>
        <w:t>第五条 社会保险与福利</w:t>
      </w:r>
    </w:p>
    <w:p>
      <w:r>
        <w:t>用人单位依法为劳动者缴纳社会保险和住房公积金。商业保险、补贴及其他福利按公司当期政策执行，公司有权调整。</w:t>
      </w:r>
    </w:p>
    <w:p>
      <w:r>
        <w:br w:type="page"/>
      </w:r>
    </w:p>
    <w:p>
      <w:pPr>
        <w:jc w:val="right"/>
      </w:pPr>
      <w:r>
        <w:rPr>
          <w:color w:val="969696"/>
          <w:sz w:val="16"/>
        </w:rPr>
        <w:t>第6页 / 8</w:t>
      </w:r>
    </w:p>
    <w:p>
      <w:pPr>
        <w:pStyle w:val="Heading2"/>
      </w:pPr>
      <w:r>
        <w:t>第六条 保密与竞业限制</w:t>
      </w:r>
    </w:p>
    <w:p>
      <w:r>
        <w:t>劳动者应对用人单位商业秘密、客户资料、源代码、模型参数和产品路线负有保密义务。竞业限制期限、补偿标准及范围另行约定。</w:t>
      </w:r>
    </w:p>
    <w:p>
      <w:r>
        <w:br w:type="page"/>
      </w:r>
    </w:p>
    <w:p>
      <w:pPr>
        <w:jc w:val="right"/>
      </w:pPr>
      <w:r>
        <w:rPr>
          <w:color w:val="969696"/>
          <w:sz w:val="16"/>
        </w:rPr>
        <w:t>第7页 / 8</w:t>
      </w:r>
    </w:p>
    <w:p>
      <w:pPr>
        <w:pStyle w:val="Heading2"/>
      </w:pPr>
      <w:r>
        <w:t>第七条 知识产权</w:t>
      </w:r>
    </w:p>
    <w:p>
      <w:r>
        <w:t>劳动者在任职期间完成或主要利用用人单位资源完成的发明、作品、算法、模型、文档、方案及其他成果均归用人单位所有。</w:t>
      </w:r>
    </w:p>
    <w:p>
      <w:r>
        <w:br w:type="page"/>
      </w:r>
    </w:p>
    <w:p>
      <w:pPr>
        <w:jc w:val="right"/>
      </w:pPr>
      <w:r>
        <w:rPr>
          <w:color w:val="969696"/>
          <w:sz w:val="16"/>
        </w:rPr>
        <w:t>第8页 / 8</w:t>
      </w:r>
    </w:p>
    <w:p>
      <w:pPr>
        <w:pStyle w:val="Heading2"/>
      </w:pPr>
      <w:r>
        <w:t>第八条 解除与终止</w:t>
      </w:r>
    </w:p>
    <w:p>
      <w:r>
        <w:t>任何一方解除或终止本合同，应依照法律规定办理。劳动者违反公司规章制度或造成重大风险的，用人单位可立即解除合同。</w:t>
      </w:r>
    </w:p>
    <w:p>
      <w:pPr>
        <w:pStyle w:val="Heading2"/>
      </w:pPr>
      <w:r>
        <w:t>手写补充条款扫描区</w:t>
      </w:r>
    </w:p>
    <w:p>
      <w:r>
        <w:t>以下区域模拟纸质合同签署时人工手写补充内容，供OCR、手写体识别及规则冲突检测使用。</w:t>
      </w:r>
    </w:p>
    <w:p>
      <w:r>
        <w:drawing>
          <wp:inline xmlns:a="http://schemas.openxmlformats.org/drawingml/2006/main" xmlns:pic="http://schemas.openxmlformats.org/drawingml/2006/picture">
            <wp:extent cx="5669280" cy="21032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or_handwritten_term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0329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134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仅供黑客松测试使用，不构成真实法律文件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5A5A"/>
        <w:sz w:val="16"/>
      </w:rPr>
      <w:t>含手写补充条款的劳动合同 | LAB-2026-0515 | 主办方模拟测试样本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80"/>
    </w:pPr>
    <w:rPr>
      <w:rFonts w:ascii="Arial" w:hAnsi="Arial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1F4D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rial" w:hAnsi="Arial" w:eastAsia="黑体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