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CA36" w14:textId="77777777" w:rsidR="006B2234" w:rsidRDefault="00000000">
      <w:pPr>
        <w:spacing w:before="480" w:after="12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AI驱动的智能合同合规审查工具挑战赛</w:t>
      </w:r>
    </w:p>
    <w:p w14:paraId="36765F25" w14:textId="77777777" w:rsidR="006B2234" w:rsidRDefault="00000000">
      <w:pPr>
        <w:spacing w:after="80"/>
        <w:jc w:val="center"/>
      </w:pPr>
      <w:r>
        <w:rPr>
          <w:rFonts w:eastAsia="Arial"/>
          <w:color w:val="595959"/>
          <w:sz w:val="28"/>
          <w:szCs w:val="28"/>
        </w:rPr>
        <w:t>AI-Powered Contract Compliance Review Tool</w:t>
      </w:r>
    </w:p>
    <w:p w14:paraId="762CECFF" w14:textId="77777777" w:rsidR="006B2234" w:rsidRDefault="00000000">
      <w:pPr>
        <w:spacing w:after="480"/>
        <w:jc w:val="center"/>
      </w:pPr>
      <w:r>
        <w:rPr>
          <w:rFonts w:eastAsia="Arial"/>
          <w:i/>
          <w:iCs/>
          <w:color w:val="2E75B6"/>
          <w:sz w:val="24"/>
          <w:szCs w:val="24"/>
        </w:rPr>
        <w:t>黑客松任务说明书  ·  Hackathon Task Brief</w:t>
      </w:r>
    </w:p>
    <w:p w14:paraId="348CFBAE" w14:textId="77777777" w:rsidR="006B2234" w:rsidRDefault="006B2234">
      <w:pPr>
        <w:pBdr>
          <w:bottom w:val="single" w:sz="6" w:space="1" w:color="1F4E79"/>
        </w:pBdr>
        <w:spacing w:before="120" w:after="120"/>
      </w:pPr>
    </w:p>
    <w:p w14:paraId="1FA02498" w14:textId="77777777" w:rsidR="006B2234" w:rsidRDefault="00000000">
      <w:pPr>
        <w:pStyle w:val="Heading1"/>
      </w:pPr>
      <w:r>
        <w:t>赛题背景</w:t>
      </w:r>
    </w:p>
    <w:p w14:paraId="5DA8A1A6" w14:textId="77777777" w:rsidR="006B2234" w:rsidRDefault="00000000">
      <w:pPr>
        <w:spacing w:before="80" w:after="80"/>
      </w:pPr>
      <w:r>
        <w:rPr>
          <w:rFonts w:eastAsia="Arial"/>
        </w:rPr>
        <w:t>在企业法务与采购实务中，合同是业务合规的最后一道防线。一份存在隐患的合同条款——无论是模糊的违约责任、不对等的赔偿上限、还是缺失的知识产权保护——都可能在数月乃至数年后引发重大法律风险与财务损失。</w:t>
      </w:r>
    </w:p>
    <w:p w14:paraId="294E539E" w14:textId="77777777" w:rsidR="006B2234" w:rsidRDefault="006B2234">
      <w:pPr>
        <w:spacing w:before="60" w:after="60"/>
      </w:pPr>
    </w:p>
    <w:p w14:paraId="3CEAA6F8" w14:textId="77777777" w:rsidR="006B2234" w:rsidRDefault="00000000">
      <w:pPr>
        <w:spacing w:before="80" w:after="80"/>
      </w:pPr>
      <w:r>
        <w:rPr>
          <w:rFonts w:eastAsia="Arial"/>
        </w:rPr>
        <w:t>然而，现实情况是：法务或采购团队每天需处理数十份乃至数百份合同，涵盖采购协议、服务合同、保密协议、劳务合同等多种类型，且常常同时存在中英双语版本。纯粹依赖人工逐条审阅，不仅耗时（单份复杂合同审阅往往需要2-4小时），且极易因审阅人经验差异或疲劳而产生漏判。</w:t>
      </w:r>
    </w:p>
    <w:p w14:paraId="11145861" w14:textId="77777777" w:rsidR="006B2234" w:rsidRDefault="006B2234">
      <w:pPr>
        <w:spacing w:before="60" w:after="60"/>
      </w:pPr>
    </w:p>
    <w:p w14:paraId="548F4460" w14:textId="77777777" w:rsidR="006B2234" w:rsidRDefault="00000000">
      <w:pPr>
        <w:spacing w:before="80" w:after="80"/>
      </w:pPr>
      <w:r>
        <w:rPr>
          <w:rFonts w:eastAsia="Arial"/>
        </w:rPr>
        <w:t>本赛题要求参赛团队扮演“AI合规工程师”的角色，将大语言模型（LLM）与规则引擎融合，构建一套可真实落地的智能合同合规审查工具：上传合同文件后，系统需自动完成条款结构化拆解、风险点高亮标注、合规评分计算，并输出带有具体修改建议与法律依据的专业合规报告。</w:t>
      </w:r>
    </w:p>
    <w:p w14:paraId="173EE720" w14:textId="77777777" w:rsidR="006B2234" w:rsidRDefault="006B2234">
      <w:pPr>
        <w:spacing w:before="60" w:after="60"/>
      </w:pPr>
    </w:p>
    <w:p w14:paraId="63357EB4" w14:textId="0C2E7256" w:rsidR="006B2234" w:rsidRDefault="006B2234">
      <w:pPr>
        <w:spacing w:before="80" w:after="80"/>
      </w:pPr>
    </w:p>
    <w:p w14:paraId="164AB58E" w14:textId="77777777" w:rsidR="006B2234" w:rsidRDefault="006B2234">
      <w:pPr>
        <w:pBdr>
          <w:bottom w:val="single" w:sz="6" w:space="1" w:color="1F4E79"/>
        </w:pBdr>
        <w:spacing w:before="120" w:after="120"/>
      </w:pPr>
    </w:p>
    <w:p w14:paraId="4B23CD38" w14:textId="77777777" w:rsidR="006B2234" w:rsidRDefault="00000000">
      <w:pPr>
        <w:pStyle w:val="Heading1"/>
      </w:pPr>
      <w:r>
        <w:t>竞赛目标</w:t>
      </w:r>
    </w:p>
    <w:p w14:paraId="3784C5DF" w14:textId="77777777" w:rsidR="006B2234" w:rsidRDefault="00000000">
      <w:pPr>
        <w:spacing w:before="80" w:after="80"/>
      </w:pPr>
      <w:r>
        <w:rPr>
          <w:rFonts w:eastAsia="Arial"/>
        </w:rPr>
        <w:t>考察参赛团队在以下四个维度的综合能力：</w:t>
      </w:r>
    </w:p>
    <w:p w14:paraId="7BA7BE65" w14:textId="77777777" w:rsidR="006B2234" w:rsidRDefault="006B2234">
      <w:pPr>
        <w:spacing w:before="60" w:after="60"/>
      </w:pPr>
    </w:p>
    <w:p w14:paraId="6D402658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>文档智能解析能力：</w:t>
      </w:r>
      <w:r>
        <w:rPr>
          <w:rFonts w:eastAsia="Arial"/>
        </w:rPr>
        <w:t>能否对多格式（PDF / Word / 扫描件）、多语言（中英双语）、多类型（采购合同、服务合同、保密协议、劳动合同）的合同文件进行准确的结构化条款拆解，做到读懂合同。</w:t>
      </w:r>
    </w:p>
    <w:p w14:paraId="510BEF56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>规则引擎构建能力：</w:t>
      </w:r>
      <w:r>
        <w:rPr>
          <w:rFonts w:eastAsia="Arial"/>
        </w:rPr>
        <w:t>能否设计一套可配置、可扩展的合规规则库，将抽象的法律要求（如《民法典》合同编条款、GDPR数据条款）转化为可执行的计算机判断逻辑。</w:t>
      </w:r>
    </w:p>
    <w:p w14:paraId="51E98956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>AI增强的风险推理能力：</w:t>
      </w:r>
      <w:r>
        <w:rPr>
          <w:rFonts w:eastAsia="Arial"/>
        </w:rPr>
        <w:t>能否让LLM超越简单关键词匹配，对措辞模糊、权利义务不对等、潜在歧义条款进行语义级别的风险识别，并给出有依据的修改建议。</w:t>
      </w:r>
    </w:p>
    <w:p w14:paraId="074692F2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>产品化交付能力：</w:t>
      </w:r>
      <w:r>
        <w:rPr>
          <w:rFonts w:eastAsia="Arial"/>
        </w:rPr>
        <w:t>能否将上述能力封装为一个具备完整用户交互流程、结果可视化、支持批量处理的Web工具，使非技术的法务人员能够直接上手使用。</w:t>
      </w:r>
    </w:p>
    <w:p w14:paraId="397FF434" w14:textId="77777777" w:rsidR="006B2234" w:rsidRDefault="006B2234">
      <w:pPr>
        <w:pBdr>
          <w:bottom w:val="single" w:sz="6" w:space="1" w:color="1F4E79"/>
        </w:pBdr>
        <w:spacing w:before="120" w:after="120"/>
      </w:pPr>
    </w:p>
    <w:p w14:paraId="7CC841C2" w14:textId="77777777" w:rsidR="006B2234" w:rsidRDefault="00000000">
      <w:pPr>
        <w:pStyle w:val="Heading1"/>
      </w:pPr>
      <w:r>
        <w:lastRenderedPageBreak/>
        <w:t>竞赛任务与流程</w:t>
      </w:r>
    </w:p>
    <w:p w14:paraId="298FABA2" w14:textId="4EFAF689" w:rsidR="006B2234" w:rsidRDefault="00000000">
      <w:pPr>
        <w:spacing w:before="80" w:after="80"/>
      </w:pPr>
      <w:r>
        <w:rPr>
          <w:rFonts w:eastAsia="Arial"/>
        </w:rPr>
        <w:t>竞赛总时长为</w:t>
      </w:r>
      <w:r w:rsidR="00761F61">
        <w:rPr>
          <w:rFonts w:hint="eastAsia"/>
        </w:rPr>
        <w:t>24</w:t>
      </w:r>
      <w:r>
        <w:rPr>
          <w:rFonts w:eastAsia="Arial"/>
        </w:rPr>
        <w:t>小时，分为三个核心阶段，每个阶段均有明确交付物。</w:t>
      </w:r>
    </w:p>
    <w:p w14:paraId="07B83EF2" w14:textId="77777777" w:rsidR="006B2234" w:rsidRDefault="006B2234">
      <w:pPr>
        <w:spacing w:before="60" w:after="60"/>
      </w:pPr>
    </w:p>
    <w:p w14:paraId="42537C44" w14:textId="3DDB0649" w:rsidR="006B2234" w:rsidRPr="00761F61" w:rsidRDefault="00000000">
      <w:pPr>
        <w:pStyle w:val="Heading2"/>
        <w:rPr>
          <w:rFonts w:eastAsiaTheme="minorEastAsia"/>
        </w:rPr>
      </w:pPr>
      <w:r>
        <w:t>第一阶段：合同文档解析与条款结构化引擎</w:t>
      </w:r>
    </w:p>
    <w:p w14:paraId="17D318F1" w14:textId="77777777" w:rsidR="006B2234" w:rsidRDefault="006B2234">
      <w:pPr>
        <w:spacing w:before="60" w:after="60"/>
      </w:pPr>
    </w:p>
    <w:p w14:paraId="1870A008" w14:textId="77777777" w:rsidR="006B2234" w:rsidRDefault="00000000">
      <w:pPr>
        <w:pStyle w:val="Heading3"/>
      </w:pPr>
      <w:r>
        <w:t>任务描述</w:t>
      </w:r>
    </w:p>
    <w:p w14:paraId="33B81B83" w14:textId="77777777" w:rsidR="006B2234" w:rsidRDefault="00000000">
      <w:pPr>
        <w:spacing w:before="80" w:after="80"/>
      </w:pPr>
      <w:r>
        <w:rPr>
          <w:rFonts w:eastAsia="Arial"/>
        </w:rPr>
        <w:t>主办方将提供一套“合同测试包”，内含不同复杂度的合同样本，包括：</w:t>
      </w:r>
    </w:p>
    <w:p w14:paraId="39044ACE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中文采购框架协议（含表格、附件、盖章扫描件，约20页）</w:t>
      </w:r>
    </w:p>
    <w:p w14:paraId="74B68EFC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中英双语IT服务合同（双栏对照排版，约15页）</w:t>
      </w:r>
    </w:p>
    <w:p w14:paraId="1A9844B2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标准保密协议NDA（英文原版，约5页）</w:t>
      </w:r>
    </w:p>
    <w:p w14:paraId="5E9030E9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含手写补充条款的劳动合同（混合OCR场景，约8页）</w:t>
      </w:r>
    </w:p>
    <w:p w14:paraId="5CB14916" w14:textId="77777777" w:rsidR="006B2234" w:rsidRDefault="006B2234">
      <w:pPr>
        <w:spacing w:before="60" w:after="60"/>
      </w:pPr>
    </w:p>
    <w:p w14:paraId="184DC728" w14:textId="77777777" w:rsidR="006B2234" w:rsidRDefault="00000000">
      <w:pPr>
        <w:pStyle w:val="Heading3"/>
      </w:pPr>
      <w:r>
        <w:t>具体要求</w:t>
      </w:r>
    </w:p>
    <w:p w14:paraId="7ADE0E2A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多格式文档解析（难度核心）：</w:t>
      </w:r>
    </w:p>
    <w:p w14:paraId="33D249C9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 xml:space="preserve">支持 PDF（文字型与扫描型）、.docx 格式的文件上传；扫描件须集成OCR能力（如 Tesseract / </w:t>
      </w:r>
      <w:proofErr w:type="spellStart"/>
      <w:r>
        <w:rPr>
          <w:rFonts w:eastAsia="Arial"/>
        </w:rPr>
        <w:t>PaddleOCR</w:t>
      </w:r>
      <w:proofErr w:type="spellEnd"/>
      <w:r>
        <w:rPr>
          <w:rFonts w:eastAsia="Arial"/>
        </w:rPr>
        <w:t xml:space="preserve"> / Azure Document Intelligence API）。</w:t>
      </w:r>
    </w:p>
    <w:p w14:paraId="2565667C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解析准确率要求：结构化字段提取准确率须达到90%以上（以评委人工核对为准）。</w:t>
      </w:r>
    </w:p>
    <w:p w14:paraId="3E195AF2" w14:textId="77777777" w:rsidR="006B2234" w:rsidRDefault="006B2234">
      <w:pPr>
        <w:spacing w:before="60" w:after="60"/>
      </w:pPr>
    </w:p>
    <w:p w14:paraId="6DC2BCB8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条款结构化拆解：</w:t>
      </w:r>
    </w:p>
    <w:p w14:paraId="62CED1A2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将合同内容解析为标准化的JSON结构，至少包含：合同类型、签约方信息、合同期限、付款条款（金额/周期/方式）、违约责任条款、争议解决条款、保密义务条款、知识产权归属条款、终止与退出条款。</w:t>
      </w:r>
    </w:p>
    <w:p w14:paraId="334D182F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对于双语合同，需同时输出中英文对照的结构化结果，并标注双语条款的一致性分析（是否存在中英文含义偏差）。</w:t>
      </w:r>
    </w:p>
    <w:p w14:paraId="2FA57EDE" w14:textId="77777777" w:rsidR="006B2234" w:rsidRDefault="006B2234">
      <w:pPr>
        <w:spacing w:before="60" w:after="60"/>
      </w:pPr>
    </w:p>
    <w:p w14:paraId="7B00E289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关键实体识别（NER）：</w:t>
      </w:r>
    </w:p>
    <w:p w14:paraId="6BFFA471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自动提取合同中的关键实体：日期、金额、地名（管辖法院所在地）、公司名称、联系人、合同编号。</w:t>
      </w:r>
    </w:p>
    <w:p w14:paraId="49547ADC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所有提取的实体须在前端界面以不同颜色高亮显示，并支持点击查看实体上下文。</w:t>
      </w:r>
    </w:p>
    <w:p w14:paraId="48FA34D8" w14:textId="77777777" w:rsidR="006B2234" w:rsidRDefault="006B2234">
      <w:pPr>
        <w:spacing w:before="60" w:after="60"/>
      </w:pPr>
    </w:p>
    <w:p w14:paraId="41CA2407" w14:textId="77777777" w:rsidR="006B2234" w:rsidRDefault="00000000">
      <w:pPr>
        <w:pStyle w:val="Heading3"/>
      </w:pPr>
      <w:r>
        <w:t>交付物</w:t>
      </w:r>
    </w:p>
    <w:p w14:paraId="02D4E70E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可处理上述四类样本合同的文档解析模块（含源代码）。</w:t>
      </w:r>
    </w:p>
    <w:p w14:paraId="3CB0B4A4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以JSON格式输出的结构化条款样本（至少覆盖测试包中2份合同）。</w:t>
      </w:r>
    </w:p>
    <w:p w14:paraId="620EC607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双语一致性分析报告示例（针对中英双语合同）。</w:t>
      </w:r>
    </w:p>
    <w:p w14:paraId="6BCFF233" w14:textId="77777777" w:rsidR="006B2234" w:rsidRDefault="006B2234">
      <w:pPr>
        <w:pBdr>
          <w:bottom w:val="single" w:sz="6" w:space="1" w:color="1F4E79"/>
        </w:pBdr>
        <w:spacing w:before="120" w:after="120"/>
      </w:pPr>
    </w:p>
    <w:p w14:paraId="238B91CE" w14:textId="168CFAAF" w:rsidR="006B2234" w:rsidRDefault="00000000">
      <w:pPr>
        <w:pStyle w:val="Heading2"/>
      </w:pPr>
      <w:r>
        <w:t>第二阶段：合规规则引擎与风险评分体系</w:t>
      </w:r>
    </w:p>
    <w:p w14:paraId="3C65484E" w14:textId="77777777" w:rsidR="006B2234" w:rsidRDefault="006B2234">
      <w:pPr>
        <w:spacing w:before="60" w:after="60"/>
      </w:pPr>
    </w:p>
    <w:p w14:paraId="1493A238" w14:textId="77777777" w:rsidR="006B2234" w:rsidRDefault="00000000">
      <w:pPr>
        <w:pStyle w:val="Heading3"/>
      </w:pPr>
      <w:r>
        <w:lastRenderedPageBreak/>
        <w:t>任务描述</w:t>
      </w:r>
    </w:p>
    <w:p w14:paraId="7EC2F590" w14:textId="77777777" w:rsidR="006B2234" w:rsidRDefault="00000000">
      <w:pPr>
        <w:spacing w:before="80" w:after="80"/>
      </w:pPr>
      <w:r>
        <w:rPr>
          <w:rFonts w:eastAsia="Arial"/>
        </w:rPr>
        <w:t>基于第一阶段的结构化输出，构建合规规则库，并对每份合同生成量化的风险评分与逐条风险标注。</w:t>
      </w:r>
    </w:p>
    <w:p w14:paraId="1853907F" w14:textId="77777777" w:rsidR="006B2234" w:rsidRDefault="006B2234">
      <w:pPr>
        <w:spacing w:before="60" w:after="60"/>
      </w:pPr>
    </w:p>
    <w:p w14:paraId="58DB234A" w14:textId="77777777" w:rsidR="006B2234" w:rsidRDefault="00000000">
      <w:pPr>
        <w:pStyle w:val="Heading3"/>
      </w:pPr>
      <w:r>
        <w:t>具体要求</w:t>
      </w:r>
    </w:p>
    <w:p w14:paraId="69E5AED6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可配置合规规则库（难度核心）：</w:t>
      </w:r>
    </w:p>
    <w:p w14:paraId="2B714998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设计一套规则配置机制（如YAML/JSON配置文件或Web管理界面），允许法务人员在不修改代码的情况下自定义合规模板。每条规则至少包含：规则名称、检测逻辑、风险等级（高/中/低）、适用合同类型、引用法律依据。</w:t>
      </w:r>
    </w:p>
    <w:p w14:paraId="34211DBE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赛题预置规则集（参赛队须全部覆盖）：违约金比例上限（《民法典》第585条：不得超过损失的30%）；付款周期超过60天需额外标注；保密期限缺失或过短（&lt; 2年）；争议解决条款中仲裁机构/管辖地是否明确；知识产权归属中“工作成果”范围是否清晰；免责条款是否存在单方面不对等保护；终止条款是否赋予一方无条件单方解除权。</w:t>
      </w:r>
    </w:p>
    <w:p w14:paraId="757ECD79" w14:textId="77777777" w:rsidR="006B2234" w:rsidRDefault="006B2234">
      <w:pPr>
        <w:spacing w:before="60" w:after="60"/>
      </w:pPr>
    </w:p>
    <w:p w14:paraId="1C9D97CA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语义级风险识别（LLM增强）：</w:t>
      </w:r>
    </w:p>
    <w:p w14:paraId="64D4EB89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不得仅依赖关键词匹配。须调用LLM对条款进行语义理解，识别以下高难度风险场景：</w:t>
      </w:r>
    </w:p>
    <w:p w14:paraId="575CC7BA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措辞模糊风险：如“合理时间内”、“适当补偿”等无定量约束的表达，需标注并建议量化替换。</w:t>
      </w:r>
    </w:p>
    <w:p w14:paraId="1D67060F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权利义务不对等：如甲方可随时变更合同条款而乙方无异议权利，或单方面扩大己方免责范围。</w:t>
      </w:r>
    </w:p>
    <w:p w14:paraId="14603EF9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连锁风险：识别跨条款的逻辑矛盾，如保密期限条款与合同终止条款之间的时间冲突。</w:t>
      </w:r>
    </w:p>
    <w:p w14:paraId="4B5CA1E9" w14:textId="77777777" w:rsidR="006B2234" w:rsidRDefault="006B2234">
      <w:pPr>
        <w:spacing w:before="60" w:after="60"/>
      </w:pPr>
    </w:p>
    <w:p w14:paraId="3BBC3E1D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风险评分模型：</w:t>
      </w:r>
    </w:p>
    <w:p w14:paraId="3FA7A98A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为每份合同输出综合合规得分（0-100分），并拆分至每个风险维度的子得分。评分权重须公开可解释（在前端展示权重说明）。</w:t>
      </w:r>
    </w:p>
    <w:p w14:paraId="1E1FE628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风险等级矩阵：高风险（≥3条高风险条款）/ 中风险（1-2条高风险或≥5条中风险）/ 低风险（其余情况），并以明显视觉标识区分。</w:t>
      </w:r>
    </w:p>
    <w:p w14:paraId="48CD49E6" w14:textId="77777777" w:rsidR="006B2234" w:rsidRDefault="006B2234">
      <w:pPr>
        <w:spacing w:before="60" w:after="60"/>
      </w:pPr>
    </w:p>
    <w:p w14:paraId="0698CD55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批量处理与对比能力：</w:t>
      </w:r>
    </w:p>
    <w:p w14:paraId="2F09E203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系统须支持批量上传（一次≥5份合同），并在统一Dashboard中展示所有合同的合规评分概览与风险分布热力图。</w:t>
      </w:r>
    </w:p>
    <w:p w14:paraId="29306668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提供“合同对比”功能：可选择两份同类合同进行逐条差异对比，高亮显示不同版本间的条款变化。</w:t>
      </w:r>
    </w:p>
    <w:p w14:paraId="40D56B0A" w14:textId="77777777" w:rsidR="006B2234" w:rsidRDefault="006B2234">
      <w:pPr>
        <w:spacing w:before="60" w:after="60"/>
      </w:pPr>
    </w:p>
    <w:p w14:paraId="56782E81" w14:textId="77777777" w:rsidR="006B2234" w:rsidRDefault="00000000">
      <w:pPr>
        <w:pStyle w:val="Heading3"/>
      </w:pPr>
      <w:r>
        <w:t>交付物</w:t>
      </w:r>
    </w:p>
    <w:p w14:paraId="5B9CFCD4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规则配置文件（YAML/JSON格式）及可在线配置的规则管理界面（可选加分项）。</w:t>
      </w:r>
    </w:p>
    <w:p w14:paraId="309C356C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含风险评分、风险等级、逐条标注结果的JSON输出样本（覆盖全部四份测试合同）。</w:t>
      </w:r>
    </w:p>
    <w:p w14:paraId="73BA32FE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批量处理Dashboard截图或录屏（5份合同同时处理的演示）。</w:t>
      </w:r>
    </w:p>
    <w:p w14:paraId="49433468" w14:textId="77777777" w:rsidR="006B2234" w:rsidRDefault="006B2234">
      <w:pPr>
        <w:pBdr>
          <w:bottom w:val="single" w:sz="6" w:space="1" w:color="1F4E79"/>
        </w:pBdr>
        <w:spacing w:before="120" w:after="120"/>
      </w:pPr>
    </w:p>
    <w:p w14:paraId="323E569E" w14:textId="3979CF16" w:rsidR="006B2234" w:rsidRDefault="00000000">
      <w:pPr>
        <w:pStyle w:val="Heading2"/>
      </w:pPr>
      <w:r>
        <w:t>第三阶段：修改建议生成、合规报告输出与系统集成</w:t>
      </w:r>
    </w:p>
    <w:p w14:paraId="1C8DC743" w14:textId="77777777" w:rsidR="006B2234" w:rsidRDefault="006B2234">
      <w:pPr>
        <w:spacing w:before="60" w:after="60"/>
      </w:pPr>
    </w:p>
    <w:p w14:paraId="06222358" w14:textId="77777777" w:rsidR="006B2234" w:rsidRDefault="00000000">
      <w:pPr>
        <w:pStyle w:val="Heading3"/>
      </w:pPr>
      <w:r>
        <w:t>任务描述</w:t>
      </w:r>
    </w:p>
    <w:p w14:paraId="66B29DD0" w14:textId="77777777" w:rsidR="006B2234" w:rsidRDefault="00000000">
      <w:pPr>
        <w:spacing w:before="80" w:after="80"/>
      </w:pPr>
      <w:r>
        <w:rPr>
          <w:rFonts w:eastAsia="Arial"/>
        </w:rPr>
        <w:t>在风险识别基础上，为每个风险条款生成专业的修改建议，输出完整合规报告，并完成Web产品的最终整合交付。</w:t>
      </w:r>
    </w:p>
    <w:p w14:paraId="6D5D3344" w14:textId="77777777" w:rsidR="006B2234" w:rsidRDefault="006B2234">
      <w:pPr>
        <w:spacing w:before="60" w:after="60"/>
      </w:pPr>
    </w:p>
    <w:p w14:paraId="2B849777" w14:textId="77777777" w:rsidR="006B2234" w:rsidRDefault="00000000">
      <w:pPr>
        <w:pStyle w:val="Heading3"/>
      </w:pPr>
      <w:r>
        <w:t>具体要求</w:t>
      </w:r>
    </w:p>
    <w:p w14:paraId="18B3691B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AI生成修改建议（难度核心）：</w:t>
      </w:r>
    </w:p>
    <w:p w14:paraId="35D3DF1D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针对每个被标注为“中风险”及以上的条款，系统须自动生成包含以下三要素的修改建议：</w:t>
      </w:r>
    </w:p>
    <w:p w14:paraId="1C233F1E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【风险描述】：</w:t>
      </w:r>
      <w:r>
        <w:rPr>
          <w:rFonts w:eastAsia="Arial"/>
        </w:rPr>
        <w:t>用非法律专业语言清晰说明该条款的具体风险及可能后果（面向业务负责人可读）。</w:t>
      </w:r>
    </w:p>
    <w:p w14:paraId="0F3924BD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【法律依据】：</w:t>
      </w:r>
      <w:r>
        <w:rPr>
          <w:rFonts w:eastAsia="Arial"/>
        </w:rPr>
        <w:t>引用具体法条或行业惯例（如“依据《民法典》第577条……”），引用须准确，禁止编造法条。</w:t>
      </w:r>
    </w:p>
    <w:p w14:paraId="1E431B0A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【修改示例】：</w:t>
      </w:r>
      <w:r>
        <w:rPr>
          <w:rFonts w:eastAsia="Arial"/>
        </w:rPr>
        <w:t>提供具体的替换文字建议（原文 → 建议修改后文），而非仅指出问题。</w:t>
      </w:r>
    </w:p>
    <w:p w14:paraId="0F7100D7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修改建议须支持“一键采纳”：用户点击采纳后，系统自动将修改意见嵌入合同原文，并可导出为带有修订标记的.docx文件（Track Changes模式）。</w:t>
      </w:r>
    </w:p>
    <w:p w14:paraId="7D39E00A" w14:textId="77777777" w:rsidR="006B2234" w:rsidRDefault="006B2234">
      <w:pPr>
        <w:spacing w:before="60" w:after="60"/>
      </w:pPr>
    </w:p>
    <w:p w14:paraId="3054D8B8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审计追踪与版本管理：</w:t>
      </w:r>
    </w:p>
    <w:p w14:paraId="420AD2B3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系统须记录每次审查的完整操作日志：上传时间、文件哈希值（防篡改校验）、风险识别结果、用户采纳/拒绝修改的操作记录。</w:t>
      </w:r>
    </w:p>
    <w:p w14:paraId="3441FE49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支持审查历史查询：可按时间、合同类型、风险等级筛选历史审查记录。</w:t>
      </w:r>
    </w:p>
    <w:p w14:paraId="62C50784" w14:textId="77777777" w:rsidR="006B2234" w:rsidRDefault="006B2234">
      <w:pPr>
        <w:spacing w:before="60" w:after="60"/>
      </w:pPr>
    </w:p>
    <w:p w14:paraId="3BBE3A5B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专业合规报告生成：</w:t>
      </w:r>
    </w:p>
    <w:p w14:paraId="0BD18203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一键导出PDF格式的《合同合规审查报告》，须包含：封面（合同名称/审查日期/综合评分）、执行摘要、风险条款汇总表、逐条详细分析（含修改建议）、附件（原合同风险标注版本）。</w:t>
      </w:r>
    </w:p>
    <w:p w14:paraId="7F757578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报告中的风险高亮须与PDF原文精确对应（定位到具体页码和段落）。</w:t>
      </w:r>
    </w:p>
    <w:p w14:paraId="58286844" w14:textId="77777777" w:rsidR="006B2234" w:rsidRDefault="006B2234">
      <w:pPr>
        <w:spacing w:before="60" w:after="60"/>
      </w:pPr>
    </w:p>
    <w:p w14:paraId="2134D34B" w14:textId="77777777" w:rsidR="006B223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  <w:b/>
          <w:bCs/>
        </w:rPr>
        <w:t>Web产品完整交付（POC标准）：</w:t>
      </w:r>
    </w:p>
    <w:p w14:paraId="029AAEE1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用户流程须覆盖完整闭环：上传文档 → 选择合规模板 → 触发自动审查 → 查看风险标注 → 采纳/拒绝修改建议 → 导出报告。</w:t>
      </w:r>
    </w:p>
    <w:p w14:paraId="03339DEC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前端须展示：合同原文阅读视图（风险条款行内高亮）、侧边栏风险列表（按等级排序）、合规评分仪表盘、修改建议卡片（原文+建议+依据的三栏对比布局）。</w:t>
      </w:r>
    </w:p>
    <w:p w14:paraId="6E3E1258" w14:textId="77777777" w:rsidR="006B2234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eastAsia="Arial"/>
        </w:rPr>
        <w:t>技术加分项（任选其一）：提供REST API接口并附Swagger文档，支持第三方ERP/OA系统调用；或实现Webhook推送功能，当高风险合同被识别时自动通知指定邮箱/企业微信。</w:t>
      </w:r>
    </w:p>
    <w:p w14:paraId="5E529FDD" w14:textId="77777777" w:rsidR="006B2234" w:rsidRDefault="006B2234">
      <w:pPr>
        <w:spacing w:before="60" w:after="60"/>
      </w:pPr>
    </w:p>
    <w:p w14:paraId="22CBDB32" w14:textId="77777777" w:rsidR="006B2234" w:rsidRDefault="00000000">
      <w:pPr>
        <w:pStyle w:val="Heading3"/>
      </w:pPr>
      <w:r>
        <w:t>交付物</w:t>
      </w:r>
    </w:p>
    <w:p w14:paraId="01A4D4F3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lastRenderedPageBreak/>
        <w:t>可在线访问或本地运行的Web应用（含启动说明README）。</w:t>
      </w:r>
    </w:p>
    <w:p w14:paraId="2B8A2234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至少2份测试合同的PDF格式合规审查报告完整样本。</w:t>
      </w:r>
    </w:p>
    <w:p w14:paraId="6D4EFA02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含修订标记的.docx导出示例（一键采纳建议后的输出）。</w:t>
      </w:r>
    </w:p>
    <w:p w14:paraId="09DA1142" w14:textId="77777777" w:rsidR="006B22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（加分）API文档或Webhook集成演示截图。</w:t>
      </w:r>
    </w:p>
    <w:p w14:paraId="0DD4C9DA" w14:textId="77777777" w:rsidR="006B2234" w:rsidRDefault="006B2234">
      <w:pPr>
        <w:pBdr>
          <w:bottom w:val="single" w:sz="6" w:space="1" w:color="1F4E79"/>
        </w:pBdr>
        <w:spacing w:before="120" w:after="120"/>
      </w:pPr>
    </w:p>
    <w:p w14:paraId="37505E80" w14:textId="77777777" w:rsidR="006B2234" w:rsidRDefault="00000000">
      <w:pPr>
        <w:pStyle w:val="Heading1"/>
      </w:pPr>
      <w:r>
        <w:t>评分维度与权重</w:t>
      </w:r>
    </w:p>
    <w:p w14:paraId="31F0F676" w14:textId="77777777" w:rsidR="006B2234" w:rsidRDefault="006B2234">
      <w:pPr>
        <w:spacing w:before="60" w:after="60"/>
      </w:pPr>
    </w:p>
    <w:p w14:paraId="3E31FBCA" w14:textId="7ACEAFA1" w:rsidR="006B2234" w:rsidRPr="00EA3AFA" w:rsidRDefault="00EA3AFA" w:rsidP="00EA3AFA">
      <w:pPr>
        <w:pStyle w:val="Heading2"/>
        <w:rPr>
          <w:rFonts w:hint="eastAsia"/>
          <w:b w:val="0"/>
          <w:bCs w:val="0"/>
          <w:color w:val="auto"/>
          <w:sz w:val="22"/>
          <w:szCs w:val="22"/>
        </w:rPr>
      </w:pPr>
      <w:r w:rsidRPr="00EA3AFA">
        <w:rPr>
          <w:rFonts w:ascii="宋体" w:eastAsia="宋体" w:hAnsi="宋体" w:cs="宋体" w:hint="eastAsia"/>
          <w:b w:val="0"/>
          <w:bCs w:val="0"/>
          <w:color w:val="auto"/>
          <w:sz w:val="22"/>
          <w:szCs w:val="22"/>
        </w:rPr>
        <w:t>统一标准</w:t>
      </w:r>
    </w:p>
    <w:p w14:paraId="1E955258" w14:textId="77777777" w:rsidR="006B2234" w:rsidRDefault="00000000">
      <w:pPr>
        <w:pStyle w:val="Heading1"/>
      </w:pPr>
      <w:r>
        <w:rPr>
          <w:rFonts w:ascii="宋体" w:eastAsia="宋体" w:hAnsi="宋体" w:cs="宋体" w:hint="eastAsia"/>
        </w:rPr>
        <w:t>注</w:t>
      </w:r>
      <w:r>
        <w:t>意事项</w:t>
      </w:r>
    </w:p>
    <w:p w14:paraId="6184CB44" w14:textId="77777777" w:rsidR="006B2234" w:rsidRDefault="006B2234">
      <w:pPr>
        <w:spacing w:before="60" w:after="60"/>
      </w:pPr>
    </w:p>
    <w:p w14:paraId="3E76CC9D" w14:textId="77777777" w:rsidR="006B2234" w:rsidRDefault="00000000" w:rsidP="00761F61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原创性与代码诚信：</w:t>
      </w:r>
      <w:r>
        <w:rPr>
          <w:rFonts w:eastAsia="Arial"/>
        </w:rPr>
        <w:t>所有提交的代码须为现场原创或基于开源组件的合理封装，严禁直接使用赛前已开发的完整系统。</w:t>
      </w:r>
    </w:p>
    <w:p w14:paraId="6E9485DD" w14:textId="77777777" w:rsidR="006B2234" w:rsidRDefault="00000000" w:rsidP="00761F61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法律准确性红线：</w:t>
      </w:r>
      <w:r>
        <w:rPr>
          <w:rFonts w:eastAsia="Arial"/>
        </w:rPr>
        <w:t>修改建议中引用的任何法律条文须确保准确，严禁LLM幻觉导致的法条编造。评委将随机抽查引用法条的真实性，一旦发现编造将直接扣除本维度全部分数。</w:t>
      </w:r>
    </w:p>
    <w:p w14:paraId="52E05F87" w14:textId="77777777" w:rsidR="006B2234" w:rsidRDefault="00000000" w:rsidP="00761F61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数据安全：</w:t>
      </w:r>
      <w:r>
        <w:rPr>
          <w:rFonts w:eastAsia="Arial"/>
        </w:rPr>
        <w:t>测试合同中包含模拟的敏感商业信息，参赛团队须承诺不将合同内容用于任何赛外用途，系统不得将合同数据明文传输至未经主办方批准的第三方服务。</w:t>
      </w:r>
    </w:p>
    <w:p w14:paraId="04BD9BC8" w14:textId="77777777" w:rsidR="006B2234" w:rsidRDefault="00000000" w:rsidP="00761F61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AI使用声明：</w:t>
      </w:r>
      <w:r>
        <w:rPr>
          <w:rFonts w:eastAsia="Arial"/>
        </w:rPr>
        <w:t>最终提交物中须包含一份《AI工具使用说明》，列明所使用的全部AI工具及其在各环节的具体应用（含Prompt设计思路摘要）。</w:t>
      </w:r>
    </w:p>
    <w:p w14:paraId="790E040C" w14:textId="77777777" w:rsidR="006B2234" w:rsidRDefault="00000000" w:rsidP="00761F61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时间管理：</w:t>
      </w:r>
      <w:r>
        <w:rPr>
          <w:rFonts w:eastAsia="Arial"/>
          <w:highlight w:val="yellow"/>
        </w:rPr>
        <w:t>48小时为总时长，建议各团队严格按三阶段时间分配推进，第三阶段Web产品集成往往是最容易超时的环节，请提前预留充足调试时间。</w:t>
      </w:r>
    </w:p>
    <w:p w14:paraId="29BE29A3" w14:textId="77777777" w:rsidR="006B2234" w:rsidRDefault="00000000" w:rsidP="00761F61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  <w:b/>
          <w:bCs/>
        </w:rPr>
        <w:t>合规红线：</w:t>
      </w:r>
      <w:r>
        <w:rPr>
          <w:rFonts w:eastAsia="Arial"/>
        </w:rPr>
        <w:t>任何将合同审查工具包装为“律师意见书”、声称具有正式法律效力，或在产品界面中存在误导性法律保证表述的行为，均视为违规并取消评奖资格。</w:t>
      </w:r>
    </w:p>
    <w:p w14:paraId="7F500DA1" w14:textId="77777777" w:rsidR="006B2234" w:rsidRDefault="006B2234">
      <w:pPr>
        <w:pBdr>
          <w:bottom w:val="single" w:sz="6" w:space="1" w:color="1F4E79"/>
        </w:pBdr>
        <w:spacing w:before="120" w:after="120"/>
      </w:pPr>
    </w:p>
    <w:p w14:paraId="3D27DB44" w14:textId="77777777" w:rsidR="006B2234" w:rsidRDefault="00000000">
      <w:pPr>
        <w:spacing w:before="240"/>
        <w:jc w:val="center"/>
      </w:pPr>
      <w:r>
        <w:rPr>
          <w:rFonts w:eastAsia="Arial"/>
          <w:i/>
          <w:iCs/>
          <w:color w:val="595959"/>
          <w:sz w:val="20"/>
          <w:szCs w:val="20"/>
        </w:rPr>
        <w:t>如有疑问，请在竞赛群中@主办方技术支持  ·  祝各团队参赛顺利</w:t>
      </w:r>
    </w:p>
    <w:sectPr w:rsidR="006B22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F6B56"/>
    <w:multiLevelType w:val="hybridMultilevel"/>
    <w:tmpl w:val="B71C461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F4405D3"/>
    <w:multiLevelType w:val="hybridMultilevel"/>
    <w:tmpl w:val="897CF12E"/>
    <w:lvl w:ilvl="0" w:tplc="0CA6976E">
      <w:start w:val="1"/>
      <w:numFmt w:val="bullet"/>
      <w:lvlText w:val="●"/>
      <w:lvlJc w:val="left"/>
      <w:pPr>
        <w:ind w:left="720" w:hanging="360"/>
      </w:pPr>
    </w:lvl>
    <w:lvl w:ilvl="1" w:tplc="D88CEFC2">
      <w:start w:val="1"/>
      <w:numFmt w:val="bullet"/>
      <w:lvlText w:val="○"/>
      <w:lvlJc w:val="left"/>
      <w:pPr>
        <w:ind w:left="1440" w:hanging="360"/>
      </w:pPr>
    </w:lvl>
    <w:lvl w:ilvl="2" w:tplc="94AACD96">
      <w:start w:val="1"/>
      <w:numFmt w:val="bullet"/>
      <w:lvlText w:val="■"/>
      <w:lvlJc w:val="left"/>
      <w:pPr>
        <w:ind w:left="2160" w:hanging="360"/>
      </w:pPr>
    </w:lvl>
    <w:lvl w:ilvl="3" w:tplc="814CB6AA">
      <w:start w:val="1"/>
      <w:numFmt w:val="bullet"/>
      <w:lvlText w:val="●"/>
      <w:lvlJc w:val="left"/>
      <w:pPr>
        <w:ind w:left="2880" w:hanging="360"/>
      </w:pPr>
    </w:lvl>
    <w:lvl w:ilvl="4" w:tplc="1C8C9DC8">
      <w:start w:val="1"/>
      <w:numFmt w:val="bullet"/>
      <w:lvlText w:val="○"/>
      <w:lvlJc w:val="left"/>
      <w:pPr>
        <w:ind w:left="3600" w:hanging="360"/>
      </w:pPr>
    </w:lvl>
    <w:lvl w:ilvl="5" w:tplc="AF085022">
      <w:start w:val="1"/>
      <w:numFmt w:val="bullet"/>
      <w:lvlText w:val="■"/>
      <w:lvlJc w:val="left"/>
      <w:pPr>
        <w:ind w:left="4320" w:hanging="360"/>
      </w:pPr>
    </w:lvl>
    <w:lvl w:ilvl="6" w:tplc="77602358">
      <w:start w:val="1"/>
      <w:numFmt w:val="bullet"/>
      <w:lvlText w:val="●"/>
      <w:lvlJc w:val="left"/>
      <w:pPr>
        <w:ind w:left="5040" w:hanging="360"/>
      </w:pPr>
    </w:lvl>
    <w:lvl w:ilvl="7" w:tplc="6BE2292C">
      <w:start w:val="1"/>
      <w:numFmt w:val="bullet"/>
      <w:lvlText w:val="●"/>
      <w:lvlJc w:val="left"/>
      <w:pPr>
        <w:ind w:left="5760" w:hanging="360"/>
      </w:pPr>
    </w:lvl>
    <w:lvl w:ilvl="8" w:tplc="D44C1F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111BFD"/>
    <w:multiLevelType w:val="hybridMultilevel"/>
    <w:tmpl w:val="CBEE2902"/>
    <w:lvl w:ilvl="0" w:tplc="A3EE7D38">
      <w:start w:val="1"/>
      <w:numFmt w:val="bullet"/>
      <w:lvlText w:val="◦"/>
      <w:lvlJc w:val="left"/>
      <w:pPr>
        <w:ind w:left="1080" w:hanging="360"/>
      </w:pPr>
    </w:lvl>
    <w:lvl w:ilvl="1" w:tplc="6C78AED6">
      <w:numFmt w:val="decimal"/>
      <w:lvlText w:val=""/>
      <w:lvlJc w:val="left"/>
    </w:lvl>
    <w:lvl w:ilvl="2" w:tplc="EE68C6BA">
      <w:numFmt w:val="decimal"/>
      <w:lvlText w:val=""/>
      <w:lvlJc w:val="left"/>
    </w:lvl>
    <w:lvl w:ilvl="3" w:tplc="58BED712">
      <w:numFmt w:val="decimal"/>
      <w:lvlText w:val=""/>
      <w:lvlJc w:val="left"/>
    </w:lvl>
    <w:lvl w:ilvl="4" w:tplc="70ACDAC0">
      <w:numFmt w:val="decimal"/>
      <w:lvlText w:val=""/>
      <w:lvlJc w:val="left"/>
    </w:lvl>
    <w:lvl w:ilvl="5" w:tplc="A75C1B88">
      <w:numFmt w:val="decimal"/>
      <w:lvlText w:val=""/>
      <w:lvlJc w:val="left"/>
    </w:lvl>
    <w:lvl w:ilvl="6" w:tplc="A33222EA">
      <w:numFmt w:val="decimal"/>
      <w:lvlText w:val=""/>
      <w:lvlJc w:val="left"/>
    </w:lvl>
    <w:lvl w:ilvl="7" w:tplc="C3F64F48">
      <w:numFmt w:val="decimal"/>
      <w:lvlText w:val=""/>
      <w:lvlJc w:val="left"/>
    </w:lvl>
    <w:lvl w:ilvl="8" w:tplc="0430DF46">
      <w:numFmt w:val="decimal"/>
      <w:lvlText w:val=""/>
      <w:lvlJc w:val="left"/>
    </w:lvl>
  </w:abstractNum>
  <w:abstractNum w:abstractNumId="3" w15:restartNumberingAfterBreak="0">
    <w:nsid w:val="6DE940FD"/>
    <w:multiLevelType w:val="hybridMultilevel"/>
    <w:tmpl w:val="F08CB0DE"/>
    <w:lvl w:ilvl="0" w:tplc="AF165F8A">
      <w:start w:val="1"/>
      <w:numFmt w:val="bullet"/>
      <w:lvlText w:val="●"/>
      <w:lvlJc w:val="left"/>
      <w:pPr>
        <w:ind w:left="720" w:hanging="360"/>
      </w:pPr>
    </w:lvl>
    <w:lvl w:ilvl="1" w:tplc="BFFE2E3A">
      <w:numFmt w:val="decimal"/>
      <w:lvlText w:val=""/>
      <w:lvlJc w:val="left"/>
    </w:lvl>
    <w:lvl w:ilvl="2" w:tplc="DDB883E6">
      <w:numFmt w:val="decimal"/>
      <w:lvlText w:val=""/>
      <w:lvlJc w:val="left"/>
    </w:lvl>
    <w:lvl w:ilvl="3" w:tplc="87DCA146">
      <w:numFmt w:val="decimal"/>
      <w:lvlText w:val=""/>
      <w:lvlJc w:val="left"/>
    </w:lvl>
    <w:lvl w:ilvl="4" w:tplc="6A860674">
      <w:numFmt w:val="decimal"/>
      <w:lvlText w:val=""/>
      <w:lvlJc w:val="left"/>
    </w:lvl>
    <w:lvl w:ilvl="5" w:tplc="ECC4B6DA">
      <w:numFmt w:val="decimal"/>
      <w:lvlText w:val=""/>
      <w:lvlJc w:val="left"/>
    </w:lvl>
    <w:lvl w:ilvl="6" w:tplc="6E30C4D0">
      <w:numFmt w:val="decimal"/>
      <w:lvlText w:val=""/>
      <w:lvlJc w:val="left"/>
    </w:lvl>
    <w:lvl w:ilvl="7" w:tplc="1CD8E80E">
      <w:numFmt w:val="decimal"/>
      <w:lvlText w:val=""/>
      <w:lvlJc w:val="left"/>
    </w:lvl>
    <w:lvl w:ilvl="8" w:tplc="23642EBE">
      <w:numFmt w:val="decimal"/>
      <w:lvlText w:val=""/>
      <w:lvlJc w:val="left"/>
    </w:lvl>
  </w:abstractNum>
  <w:abstractNum w:abstractNumId="4" w15:restartNumberingAfterBreak="0">
    <w:nsid w:val="7E3E521D"/>
    <w:multiLevelType w:val="hybridMultilevel"/>
    <w:tmpl w:val="D4CE600C"/>
    <w:lvl w:ilvl="0" w:tplc="3C225104">
      <w:start w:val="1"/>
      <w:numFmt w:val="decimal"/>
      <w:lvlText w:val="%1."/>
      <w:lvlJc w:val="left"/>
      <w:pPr>
        <w:ind w:left="720" w:hanging="360"/>
      </w:pPr>
    </w:lvl>
    <w:lvl w:ilvl="1" w:tplc="6F4652E8">
      <w:numFmt w:val="decimal"/>
      <w:lvlText w:val=""/>
      <w:lvlJc w:val="left"/>
    </w:lvl>
    <w:lvl w:ilvl="2" w:tplc="FC9EED80">
      <w:numFmt w:val="decimal"/>
      <w:lvlText w:val=""/>
      <w:lvlJc w:val="left"/>
    </w:lvl>
    <w:lvl w:ilvl="3" w:tplc="08C4CA62">
      <w:numFmt w:val="decimal"/>
      <w:lvlText w:val=""/>
      <w:lvlJc w:val="left"/>
    </w:lvl>
    <w:lvl w:ilvl="4" w:tplc="A5A6470E">
      <w:numFmt w:val="decimal"/>
      <w:lvlText w:val=""/>
      <w:lvlJc w:val="left"/>
    </w:lvl>
    <w:lvl w:ilvl="5" w:tplc="50D67A56">
      <w:numFmt w:val="decimal"/>
      <w:lvlText w:val=""/>
      <w:lvlJc w:val="left"/>
    </w:lvl>
    <w:lvl w:ilvl="6" w:tplc="AE709B22">
      <w:numFmt w:val="decimal"/>
      <w:lvlText w:val=""/>
      <w:lvlJc w:val="left"/>
    </w:lvl>
    <w:lvl w:ilvl="7" w:tplc="1742A1E2">
      <w:numFmt w:val="decimal"/>
      <w:lvlText w:val=""/>
      <w:lvlJc w:val="left"/>
    </w:lvl>
    <w:lvl w:ilvl="8" w:tplc="0346EE18">
      <w:numFmt w:val="decimal"/>
      <w:lvlText w:val=""/>
      <w:lvlJc w:val="left"/>
    </w:lvl>
  </w:abstractNum>
  <w:num w:numId="1" w16cid:durableId="697706635">
    <w:abstractNumId w:val="1"/>
    <w:lvlOverride w:ilvl="0">
      <w:startOverride w:val="1"/>
    </w:lvlOverride>
  </w:num>
  <w:num w:numId="2" w16cid:durableId="1486626084">
    <w:abstractNumId w:val="3"/>
    <w:lvlOverride w:ilvl="0">
      <w:startOverride w:val="1"/>
    </w:lvlOverride>
  </w:num>
  <w:num w:numId="3" w16cid:durableId="1512597665">
    <w:abstractNumId w:val="4"/>
    <w:lvlOverride w:ilvl="0">
      <w:startOverride w:val="1"/>
    </w:lvlOverride>
  </w:num>
  <w:num w:numId="4" w16cid:durableId="1871454906">
    <w:abstractNumId w:val="2"/>
    <w:lvlOverride w:ilvl="0">
      <w:startOverride w:val="1"/>
    </w:lvlOverride>
  </w:num>
  <w:num w:numId="5" w16cid:durableId="285889287">
    <w:abstractNumId w:val="4"/>
  </w:num>
  <w:num w:numId="6" w16cid:durableId="19674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234"/>
    <w:rsid w:val="006B2234"/>
    <w:rsid w:val="00761F61"/>
    <w:rsid w:val="00DA1352"/>
    <w:rsid w:val="00EA3AFA"/>
    <w:rsid w:val="00F8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E9F3"/>
  <w15:docId w15:val="{75180436-B9ED-401D-BDE4-F6E4FA37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eastAsia="Arial"/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 Shan</cp:lastModifiedBy>
  <cp:revision>3</cp:revision>
  <dcterms:created xsi:type="dcterms:W3CDTF">2026-04-09T21:39:00Z</dcterms:created>
  <dcterms:modified xsi:type="dcterms:W3CDTF">2026-05-20T13:39:00Z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2026-05-20T13:38:29Z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e4b5febb-51c3-462b-a37f-5557843ba8e1</vt:lpwstr>
  </property>
  <property fmtid="{D5CDD505-2E9C-101B-9397-08002B2CF9AE}" pid="7" name="MSIP_Label_defa4170-0d19-0005-0004-bc88714345d2_ActionId">
    <vt:lpwstr>27a36251-8f69-41b1-af6a-dbf9ef567c00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