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中文采购框架协议</w:t>
      </w:r>
    </w:p>
    <w:p>
      <w:pPr>
        <w:jc w:val="center"/>
      </w:pPr>
      <w:r>
        <w:rPr>
          <w:color w:val="5F5F5F"/>
          <w:sz w:val="20"/>
        </w:rPr>
        <w:t>含表格、附件、盖章扫描件 | 约20页模拟样本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合同编号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PROC-2026-0515-A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签署地点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上海市浦东新区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甲方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上海星澜智能制造有限公司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乙方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苏州云启电子科技有限公司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合同金额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人民币 8,600,000 元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有效期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2026-06-01 至 2028-05-31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付款周期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验收后90日内付款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争议解决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甲方所在地人民法院</w:t>
            </w:r>
          </w:p>
        </w:tc>
      </w:tr>
    </w:tbl>
    <w:p/>
    <w:p>
      <w:pPr>
        <w:pStyle w:val="Heading2"/>
      </w:pPr>
      <w:r>
        <w:t>第一条 定义与适用范围</w:t>
      </w:r>
    </w:p>
    <w:p>
      <w:r>
        <w:t>本协议为双方采购电子控制模块、传感器及配套服务的框架性文件。具体订单、交付批次、技术规格、验收标准及售后支持以采购订单、技术附件及双方确认的电子邮件为准。若本协议与订单存在不一致，以甲方最新书面通知为准。</w:t>
      </w:r>
    </w:p>
    <w:p>
      <w:pPr>
        <w:pStyle w:val="Heading2"/>
      </w:pPr>
      <w:r>
        <w:t>第二条 采购产品与预测</w:t>
      </w:r>
    </w:p>
    <w:p>
      <w:r>
        <w:t>甲方可根据生产计划向乙方发出滚动预测。该等预测不构成必须采购的承诺，但乙方应据此提前备料。甲方有权在合理时间内调整订单数量、型号或交付地点，乙方应无条件配合。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第2页 / 20</w:t>
      </w:r>
    </w:p>
    <w:p>
      <w:pPr>
        <w:pStyle w:val="Heading2"/>
      </w:pPr>
      <w:r>
        <w:t>第三条 采购价格与年度降价机制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物料编码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产品名称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单价(元)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预计年用量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年度降价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ECU-26-A01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智能控制模块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86.50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45,000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SNS-26-T08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温度传感器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18.20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120,000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2%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CAB-26-X11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屏蔽线束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12.80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150,000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PCB-26-M31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主控PCB板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43.00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60,000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4%</w:t>
            </w:r>
          </w:p>
        </w:tc>
      </w:tr>
    </w:tbl>
    <w:p>
      <w:pPr>
        <w:pStyle w:val="Heading2"/>
      </w:pPr>
      <w:r>
        <w:t>价格调整</w:t>
      </w:r>
    </w:p>
    <w:p>
      <w:r>
        <w:t>若原材料价格波动超过5%，双方应在十个工作日内协商调整；但甲方认为市场价格下降时，可单方要求乙方按同类供应商最低报价执行。乙方未在三日内提出异议的，视为接受。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第3页 / 20</w:t>
      </w:r>
    </w:p>
    <w:p>
      <w:pPr>
        <w:pStyle w:val="Heading2"/>
      </w:pPr>
      <w:r>
        <w:t>第四条 订单与交付</w:t>
      </w:r>
    </w:p>
    <w:p>
      <w:r>
        <w:t>乙方应在收到采购订单后二十四小时内确认。逾期未确认的，视为接受订单。乙方须按订单指定日期、地点、数量交付。因甲方生产计划调整导致交期变化的，乙方应在合理时间内完成配合。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第4页 / 20</w:t>
      </w:r>
    </w:p>
    <w:p>
      <w:pPr>
        <w:pStyle w:val="Heading2"/>
      </w:pPr>
      <w:r>
        <w:t>第五条 包装、运输与风险转移</w:t>
      </w:r>
    </w:p>
    <w:p>
      <w:r>
        <w:t>乙方承担包装、运输及装卸费用。货物运抵甲方指定仓库并经初步清点后，毁损灭失风险转移至甲方；但隐蔽瑕疵、批次质量问题及因包装不当造成的损失仍由乙方承担。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第5页 / 20</w:t>
      </w:r>
    </w:p>
    <w:p>
      <w:pPr>
        <w:pStyle w:val="Heading2"/>
      </w:pPr>
      <w:r>
        <w:t>第六条 验收标准</w:t>
      </w:r>
    </w:p>
    <w:p>
      <w:r>
        <w:t>甲方可在到货后六十日内完成验收。验收通过不免除乙方对潜在缺陷及批量一致性的保证责任。若甲方未在上述期限内提出异议，视为初步验收合格。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第6页 / 20</w:t>
      </w:r>
    </w:p>
    <w:p>
      <w:pPr>
        <w:pStyle w:val="Heading2"/>
      </w:pPr>
      <w:r>
        <w:t>第七条 付款条款</w:t>
      </w:r>
    </w:p>
    <w:p>
      <w:r>
        <w:rPr>
          <w:color w:val="FF0000"/>
          <w:strike w:val="true"/>
        </w:rPr>
        <w:t xml:space="preserve">乙方开具合规增值税专用发票后，甲方在验收合格且内部流程完成后九十日内付款。若甲方客户回款延迟，甲方付款期限相应顺延，乙方不得因此暂停供货。</w:t>
      </w:r>
      <w:r>
        <w:rPr>
          <w:color w:val="0000FF"/>
          <w:u w:val="single"/>
        </w:rPr>
        <w:t xml:space="preserve">乙方开具合规增值税专用发票后，甲方在验收合格且内部流程完成后六十日内付款。甲方客户回款情况不影响本协议约定的付款义务，甲方不得以任何理由拖延或拒绝付款。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第7页 / 20</w:t>
      </w:r>
    </w:p>
    <w:p>
      <w:pPr>
        <w:pStyle w:val="Heading2"/>
      </w:pPr>
      <w:r>
        <w:t>第八条 质量保证</w:t>
      </w:r>
    </w:p>
    <w:p>
      <w:r>
        <w:t>乙方保证产品符合国家标准、行业标准、甲方技术规范及样件确认要求。质量保证期为产品交付后二十四个月或甲方整机销售后十八个月，以较晚者为准。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第8页 / 20</w:t>
      </w:r>
    </w:p>
    <w:p>
      <w:pPr>
        <w:pStyle w:val="Heading2"/>
      </w:pPr>
      <w:r>
        <w:t>第九条 召回与批量质量事故</w:t>
      </w:r>
    </w:p>
    <w:p>
      <w:r>
        <w:rPr>
          <w:color w:val="FF0000"/>
          <w:strike w:val="true"/>
        </w:rPr>
        <w:t xml:space="preserve">若产品存在安全隐患或连续三批次不合格，甲方有权要求乙方承担筛选、返工、召回、停线、客户索赔及品牌损失等全部费用。品牌损失金额由甲方根据实际影响合理确定。</w:t>
      </w:r>
      <w:r>
        <w:rPr>
          <w:color w:val="0000FF"/>
          <w:u w:val="single"/>
        </w:rPr>
        <w:t xml:space="preserve">若因乙方产品质量问题导致产品存在安全隐患或连续三批次不合格，乙方应承担因此产生的筛选、返工、召回、停线等直接费用。客户索赔费用以生效法律文书确定的金额为准，由责任方承担。品牌损失需提供第三方评估报告或生效法律文书确认的金额，仅由乙方承担其过错对应的部分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第9页 / 20</w:t>
      </w:r>
    </w:p>
    <w:p>
      <w:pPr>
        <w:pStyle w:val="Heading2"/>
      </w:pPr>
      <w:r>
        <w:t>第十条 违约责任</w:t>
      </w:r>
    </w:p>
    <w:p>
      <w:r>
        <w:rPr>
          <w:color w:val="FF0000"/>
          <w:strike w:val="true"/>
        </w:rPr>
        <w:t xml:space="preserve">乙方每延迟交付一日，应按迟延交付货款总额的5%向甲方支付违约金；迟延超过五日的，甲方有权解除订单并要求乙方赔偿全部损失。该违约金不受实际损失限制。</w:t>
      </w:r>
      <w:r>
        <w:rPr>
          <w:color w:val="0000FF"/>
          <w:u w:val="single"/>
        </w:rPr>
        <w:t xml:space="preserve">乙方每延迟交付一日，应按迟延交付货款总额的万分之五向甲方支付违约金；迟延超过十日的，甲方有权解除订单并要求乙方赔偿实际损失。若约定的违约金低于实际损失，甲方有权请求法院予以增加；若约定的违约金过分高于实际损失，乙方有权请求法院予以适当减少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第10页 / 20</w:t>
      </w:r>
    </w:p>
    <w:p>
      <w:pPr>
        <w:pStyle w:val="Heading2"/>
      </w:pPr>
      <w:r>
        <w:t>第十一条 知识产权</w:t>
      </w:r>
    </w:p>
    <w:p>
      <w:r>
        <w:rPr>
          <w:color w:val="FF0000"/>
          <w:strike w:val="true"/>
        </w:rPr>
        <w:t xml:space="preserve">双方确认，乙方为履行本协议形成的图纸、工艺文件、测试数据、软件脚本及改进成果均归甲方所有。乙方不得以任何理由主张留置、使用或许可第三方使用。</w:t>
      </w:r>
      <w:r>
        <w:rPr>
          <w:color w:val="0000FF"/>
          <w:u w:val="single"/>
        </w:rPr>
        <w:t xml:space="preserve">双方确认，乙方专门为履行本协议定制开发的图纸、工艺文件、软件脚本等定制化成果归甲方所有。乙方在履行协议过程中对自有通用技术、原有技术进行的改进成果，知识产权仍归乙方所有，甲方享有免费、非独占的使用权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第11页 / 20</w:t>
      </w:r>
    </w:p>
    <w:p>
      <w:pPr>
        <w:pStyle w:val="Heading2"/>
      </w:pPr>
      <w:r>
        <w:t>第十二条 保密义务</w:t>
      </w:r>
    </w:p>
    <w:p>
      <w:r>
        <w:t>乙方对甲方商业信息、技术资料、价格政策及客户信息负有保密义务。保密期限自信息披露之日起一年。因法律法规要求披露的，乙方应在披露后合理时间内通知甲方。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第12页 / 20</w:t>
      </w:r>
    </w:p>
    <w:p>
      <w:pPr>
        <w:pStyle w:val="Heading2"/>
      </w:pPr>
      <w:r>
        <w:t>第十三条 合规与审计</w:t>
      </w:r>
    </w:p>
    <w:p>
      <w:r>
        <w:t>乙方应遵守反商业贿赂、出口管制、数据安全、劳动用工及环境保护要求。甲方或其指定第三方可随时进入乙方场所开展审计，乙方应无条件提供资料。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第13页 / 20</w:t>
      </w:r>
    </w:p>
    <w:p>
      <w:pPr>
        <w:pStyle w:val="Heading2"/>
      </w:pPr>
      <w:r>
        <w:t>第十四条 变更与终止</w:t>
      </w:r>
    </w:p>
    <w:p>
      <w:r>
        <w:rPr>
          <w:color w:val="FF0000"/>
          <w:strike w:val="true"/>
        </w:rPr>
        <w:t xml:space="preserve">甲方可因业务需要提前三日通知乙方终止本协议或任一订单，且无需承担任何补偿。乙方终止协议须提前九十日书面通知并经甲方同意。</w:t>
      </w:r>
      <w:r>
        <w:rPr>
          <w:color w:val="0000FF"/>
          <w:u w:val="single"/>
        </w:rPr>
        <w:t xml:space="preserve">因甲方业务需要终止本协议的，甲方应提前三十日书面通知乙方，并根据乙方已备货及已完成的工作量向乙方支付相应费用。乙方终止协议的，应提前九十日书面通知甲方，经双方确认已完成的工作量后结清所有款项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第14页 / 20</w:t>
      </w:r>
    </w:p>
    <w:p>
      <w:pPr>
        <w:pStyle w:val="Heading2"/>
      </w:pPr>
      <w:r>
        <w:t>第十五条 不可抗力</w:t>
      </w:r>
    </w:p>
    <w:p>
      <w:r>
        <w:t>受不可抗力影响的一方应及时通知对方，并在合理时间内提供证明。市场价格波动、供应商短缺、物流拥堵不构成不可抗力，除非双方另有书面确认。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第15页 / 20</w:t>
      </w:r>
    </w:p>
    <w:p>
      <w:pPr>
        <w:pStyle w:val="Heading2"/>
      </w:pPr>
      <w:r>
        <w:t>第十六条 争议解决</w:t>
      </w:r>
    </w:p>
    <w:p>
      <w:r>
        <w:t>因本协议引起或与本协议有关的任何争议，双方应先友好协商；协商不成的，任一方可提交甲方所在地有管辖权的人民法院诉讼解决。</w:t>
      </w:r>
    </w:p>
    <w:p>
      <w:pPr>
        <w:pStyle w:val="Heading2"/>
      </w:pPr>
      <w:r>
        <w:t>第十七条 通知</w:t>
      </w:r>
    </w:p>
    <w:p>
      <w:r>
        <w:t>双方通知应发送至本协议列明地址或经确认的电子邮箱。电子邮件发送成功即视为送达，除非发送方收到退信提示。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第17页 / 20</w:t>
      </w:r>
    </w:p>
    <w:p>
      <w:pPr>
        <w:pStyle w:val="Heading2"/>
      </w:pPr>
      <w:r>
        <w:t>附件一：技术规格清单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合格标准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工作温度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-20℃至85℃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高低温箱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连续运行48小时无异常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批次抽检</w:t>
            </w:r>
          </w:p>
        </w:tc>
      </w:tr>
      <w:tr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抗干扰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EMC等级B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GB/T 17626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无复位、无误报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第三方报告</w:t>
            </w:r>
          </w:p>
        </w:tc>
      </w:tr>
      <w:tr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寿命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≥50,000小时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加速老化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性能衰减≤5%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供应商自测</w:t>
            </w:r>
          </w:p>
        </w:tc>
      </w:tr>
    </w:tbl>
    <w:p>
      <w:r>
        <w:br w:type="page"/>
      </w:r>
    </w:p>
    <w:p>
      <w:pPr>
        <w:jc w:val="right"/>
      </w:pPr>
      <w:r>
        <w:rPr>
          <w:color w:val="969696"/>
          <w:sz w:val="16"/>
        </w:rPr>
        <w:t>第18页 / 20</w:t>
      </w:r>
    </w:p>
    <w:p>
      <w:pPr>
        <w:pStyle w:val="Heading2"/>
      </w:pPr>
      <w:r>
        <w:t>附件二：交付排程</w:t>
      </w:r>
    </w:p>
    <w:p>
      <w:r>
        <w:t>乙方应按月度排程交付。甲方可于每月25日前调整次月排程，乙方应保证安全库存不少于四周。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月份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计划数量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交付地点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联系人</w:t>
            </w:r>
          </w:p>
        </w:tc>
      </w:tr>
      <w:tr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2026-06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18,000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上海临港仓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赵岚 13800001111</w:t>
            </w:r>
          </w:p>
        </w:tc>
      </w:tr>
      <w:tr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2026-07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22,500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苏州吴中仓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陈舟 13900002222</w:t>
            </w:r>
          </w:p>
        </w:tc>
      </w:tr>
    </w:tbl>
    <w:p>
      <w:r>
        <w:br w:type="page"/>
      </w:r>
    </w:p>
    <w:p>
      <w:pPr>
        <w:jc w:val="right"/>
      </w:pPr>
      <w:r>
        <w:rPr>
          <w:color w:val="969696"/>
          <w:sz w:val="16"/>
        </w:rPr>
        <w:t>第19页 / 20</w:t>
      </w:r>
    </w:p>
    <w:p>
      <w:r>
        <w:drawing>
          <wp:inline xmlns:a="http://schemas.openxmlformats.org/drawingml/2006/main" xmlns:pic="http://schemas.openxmlformats.org/drawingml/2006/picture">
            <wp:extent cx="5120640" cy="6943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stamp_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94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737360" cy="1284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sta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8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第20页 / 20</w:t>
      </w:r>
    </w:p>
    <w:p>
      <w:pPr>
        <w:pStyle w:val="Heading2"/>
      </w:pPr>
      <w:r>
        <w:t>附件三：风险测试提示（评测隐藏说明可删除）</w:t>
      </w:r>
    </w:p>
    <w:p>
      <w:r>
        <w:t>本样本故意包含付款周期超过60天、违约金比例明显过高、单方变更与解除、保密期限偏短、知识产权范围过宽、争议管辖偏向甲方等风险点，用于参赛系统解析与合规规则验证。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仅供黑客松测试使用，不构成真实法律文件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中文采购框架协议 | PROC-2026-0515 | 主办方模拟测试样本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