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36"/>
        </w:rPr>
        <w:t>中英双语IT服务合同</w:t>
      </w:r>
    </w:p>
    <w:p>
      <w:pPr>
        <w:jc w:val="center"/>
      </w:pPr>
      <w:r>
        <w:rPr>
          <w:color w:val="5F5F5F"/>
          <w:sz w:val="20"/>
        </w:rPr>
        <w:t>Chinese-English Bilingual IT Services Agreement | 双栏对照排版约15页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Client / 客户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北京海衡数据科技有限公司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Provider / 服务商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NovaCloud Solutions Pte. Ltd.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Term / 期限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2026-06-01 to 2027-05-31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Fee / 费用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USD 420,000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Governing Law / 法律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Laws of Singapore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Dispute / 争议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SIAC arbitration in Singapore</w:t>
            </w:r>
          </w:p>
        </w:tc>
      </w:tr>
    </w:tbl>
    <w:p/>
    <w:p>
      <w:pPr>
        <w:pStyle w:val="Heading2"/>
      </w:pPr>
      <w:r>
        <w:t>1. Scope of Services / 服务范围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Provider shall design, deploy and maintain a cloud-based contract analytics platform, including data ingestion, model tuning, API integration and user training.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服务商应设计、部署并维护一套云端合同分析平台，包括数据接入、模型调优、API集成及用户培训。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2 / 15</w:t>
      </w:r>
    </w:p>
    <w:p>
      <w:pPr>
        <w:pStyle w:val="Heading2"/>
      </w:pPr>
      <w:r>
        <w:t>2. Deliverables / 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Deliverables include source code repositories, deployment scripts, architecture diagrams, acceptance reports and monthly operation summaries.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交付物包括源代码仓库、部署脚本、架构图、验收报告及月度运维摘要。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3 / 15</w:t>
      </w:r>
    </w:p>
    <w:p>
      <w:pPr>
        <w:pStyle w:val="Heading2"/>
      </w:pPr>
      <w:r>
        <w:t>3. Service Levels / 服务水平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Provider will use commercially reasonable efforts to maintain 99.5% monthly availability. Critical incidents should be responded to within a reasonable time.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服务商应以商业上合理努力维持99.5%的月可用性。重大故障应在合理时间内响应。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4 / 15</w:t>
      </w:r>
    </w:p>
    <w:p>
      <w:pPr>
        <w:pStyle w:val="Heading2"/>
      </w:pPr>
      <w:r>
        <w:t>4. Fees and Payment / 费用与付款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color w:val="FF0000"/>
                <w:strike w:val="true"/>
              </w:rPr>
              <w:t xml:space="preserve">Client shall pay quarterly in arrears within seventy-five (75) days after receiving a valid invoice.</w:t>
            </w:r>
            <w:r>
              <w:rPr>
                <w:color w:val="0000FF"/>
                <w:u w:val="single"/>
              </w:rPr>
              <w:t xml:space="preserve">客户应按季度预付服务费用，于每季度开始前10个工作日向服务商支付当期费用；若客户逾期付款，每逾期一日按应付未付金额的0.05%向服务商支付违约金，逾期超过15日的，服务商有权暂停服务直至款项付清，且不承担违约责任。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客户应在收到有效发票后七十五（75）日内按季度后付。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5 / 15</w:t>
      </w:r>
    </w:p>
    <w:p>
      <w:pPr>
        <w:pStyle w:val="Heading2"/>
      </w:pPr>
      <w:r>
        <w:t>5. Change Requests / 变更请求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Client may request changes at any time. Provider shall implement urgent changes first and discuss fee adjustments later.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客户可随时提出变更。服务商应先行实施紧急变更，费用调整事后协商。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6 / 15</w:t>
      </w:r>
    </w:p>
    <w:p>
      <w:pPr>
        <w:pStyle w:val="Heading2"/>
      </w:pPr>
      <w:r>
        <w:t>6. Data Protection / 数据保护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color w:val="FF0000"/>
                <w:strike w:val="true"/>
              </w:rPr>
              <w:t xml:space="preserve">Provider may process personal data in approved regions and may use subcontractors for support, provided that it remains responsible for their acts.</w:t>
            </w:r>
            <w:r>
              <w:rPr>
                <w:color w:val="0000FF"/>
                <w:u w:val="single"/>
              </w:rPr>
              <w:t xml:space="preserve">服务商处理客户个人数据应严格遵守《中华人民共和国个人信息保护法》等适用法律，仅可在合同约定的中国境内区域处理中国用户的个人信息；确需向境外传输个人信息的，应依法完成安全评估、认证或订立标准合同等合规手续。服务商使用分包商处理个人数据的，应与分包商签订数据保护协议明确其数据安全责任，若分包商违反义务的，服务商承担连带责任。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服务商可在批准区域处理个人数据，并可使用分包商提供支持，但应对分包商行为负责。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7 / 15</w:t>
      </w:r>
    </w:p>
    <w:p>
      <w:pPr>
        <w:pStyle w:val="Heading2"/>
      </w:pPr>
      <w:r>
        <w:t>7. Intellectual Property / 知识产权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Pre-existing materials remain owned by the original owner. Work product specifically developed for Client shall be assigned to Client upon full payment.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既有材料归原权利人所有。专为客户开发的工作成果在客户全额付款后转让给客户。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8 / 15</w:t>
      </w:r>
    </w:p>
    <w:p>
      <w:pPr>
        <w:pStyle w:val="Heading2"/>
      </w:pPr>
      <w:r>
        <w:t>8. Confidentiality / 保密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Each party shall protect confidential information for two (2) years after disclosure.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双方应自披露之日起两（2）年内保护保密信息。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9 / 15</w:t>
      </w:r>
    </w:p>
    <w:p>
      <w:pPr>
        <w:pStyle w:val="Heading2"/>
      </w:pPr>
      <w:r>
        <w:t>9. Limitation of Liability / 责任限制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color w:val="FF0000"/>
                <w:strike w:val="true"/>
              </w:rPr>
              <w:t xml:space="preserve">Provider's aggregate liability shall not exceed fees paid in the preceding three months; however, Client's payment obligations are uncapped.</w:t>
            </w:r>
            <w:r>
              <w:rPr>
                <w:color w:val="0000FF"/>
                <w:u w:val="single"/>
              </w:rPr>
              <w:t xml:space="preserve">双方就本合同项下的违约责任累计赔偿上限均为合同总金额的100%；因一方故意或重大过失造成对方人身伤害、数据泄露、业务中断等财产损失的，不适用上述责任限制。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服务商累计责任不超过前三个月已支付费用；但客户付款义务不受限制。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10 / 15</w:t>
      </w:r>
    </w:p>
    <w:p>
      <w:pPr>
        <w:pStyle w:val="Heading2"/>
      </w:pPr>
      <w:r>
        <w:t>10. Termination / 终止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color w:val="FF0000"/>
                <w:strike w:val="true"/>
              </w:rPr>
              <w:t xml:space="preserve">Client may terminate for convenience with ten days' notice. Provider may terminate only for material breach not cured within thirty days.</w:t>
            </w:r>
            <w:r>
              <w:rPr>
                <w:color w:val="0000FF"/>
                <w:u w:val="single"/>
              </w:rPr>
              <w:t xml:space="preserve">任何一方均有权提前30天书面通知对方无理由终止合同，终止后双方根据已完成的工作量结算费用；若一方发生重大违约，守约方有权提前10天书面通知解除合同，违约方应在30天内补救，未补救的守约方有权立即解除合同并主张损失赔偿。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客户可提前十日无理由终止。服务商仅可在重大违约且三十日内未补救时终止。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11 / 15</w:t>
      </w:r>
    </w:p>
    <w:p>
      <w:pPr>
        <w:pStyle w:val="Heading2"/>
      </w:pPr>
      <w:r>
        <w:t>11. Audit / 审计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Client may audit Provider's systems upon five business days' notice no more than twice per year.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客户可提前五个工作日通知审计服务商系统，每年不超过两次。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12 / 15</w:t>
      </w:r>
    </w:p>
    <w:p>
      <w:pPr>
        <w:pStyle w:val="Heading2"/>
      </w:pPr>
      <w:r>
        <w:t>12. Export Control / 出口管制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The parties shall comply with applicable export control and sanctions laws.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双方应遵守适用的出口管制与制裁法律。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13 / 15</w:t>
      </w:r>
    </w:p>
    <w:p>
      <w:pPr>
        <w:pStyle w:val="Heading2"/>
      </w:pPr>
      <w:r>
        <w:t>13. Governing Language / 语言效力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If there is any inconsistency, the English version shall prevail.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如中英文存在不一致，以中文版本为准。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14 / 15</w:t>
      </w:r>
    </w:p>
    <w:p>
      <w:pPr>
        <w:pStyle w:val="Heading2"/>
      </w:pPr>
      <w:r>
        <w:t>14. Notices / 通知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Notices shall be sent to the addresses stated in the order form and are deemed received upon email delivery confirmation.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通知应发送至订单中列明地址，并在电子邮件发送确认时视为送达。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Page 15 / 15</w:t>
      </w:r>
    </w:p>
    <w:p>
      <w:pPr>
        <w:pStyle w:val="Heading2"/>
      </w:pPr>
      <w:r>
        <w:t>15. Miscellaneous / 其他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English</w:t>
            </w:r>
          </w:p>
        </w:tc>
        <w:tc>
          <w:tcPr>
            <w:tcW w:type="dxa" w:w="4706"/>
            <w:vAlign w:val="center"/>
            <w:shd w:fill="E8EEF5"/>
          </w:tcPr>
          <w:p>
            <w:r/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This Agreement constitutes the entire agreement and supersedes prior discussions.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b w:val="0"/>
                <w:sz w:val="18"/>
              </w:rPr>
              <w:t>本合同构成双方完整协议，并取代此前讨论。</w:t>
            </w:r>
          </w:p>
        </w:tc>
      </w:tr>
    </w:tbl>
    <w:p>
      <w:r>
        <w:t>Consistency test note: systems should flag clause 13 because the English and Chinese governing-language provisions conflict.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仅供黑客松测试使用，不构成真实法律文件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中英双语IT服务合同 | IT-SVC-2026-0515 | 主办方模拟测试样本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