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i w:val="0"/>
          <w:color w:val="000000"/>
          <w:sz w:val="46"/>
        </w:rPr>
        <w:t>OBJECTIF 2</w:t>
      </w:r>
    </w:p>
    <w:p>
      <w:pPr>
        <w:spacing w:after="240"/>
      </w:pPr>
      <w:r>
        <w:rPr>
          <w:rFonts w:ascii="Calibri" w:hAnsi="Calibri"/>
          <w:b/>
          <w:i w:val="0"/>
          <w:color w:val="000000"/>
          <w:sz w:val="28"/>
        </w:rPr>
        <w:t>Conditions environnementales et comportement locomoteur</w:t>
      </w:r>
    </w:p>
    <w:p>
      <w:pPr>
        <w:spacing w:after="120" w:line="264" w:lineRule="auto"/>
      </w:pPr>
      <w:r>
        <w:rPr>
          <w:rFonts w:ascii="Calibri" w:hAnsi="Calibri"/>
          <w:b/>
          <w:i w:val="0"/>
          <w:color w:val="000000"/>
          <w:sz w:val="21"/>
        </w:rPr>
        <w:t xml:space="preserve">Projet : </w:t>
      </w:r>
      <w:r>
        <w:rPr>
          <w:rFonts w:ascii="Calibri" w:hAnsi="Calibri"/>
          <w:b w:val="0"/>
          <w:i w:val="0"/>
          <w:color w:val="000000"/>
          <w:sz w:val="21"/>
        </w:rPr>
        <w:t>McGill / WELL-E, Summer 2019</w:t>
      </w:r>
    </w:p>
    <w:p>
      <w:pPr>
        <w:spacing w:after="120" w:line="264" w:lineRule="auto"/>
      </w:pPr>
      <w:r>
        <w:rPr>
          <w:rFonts w:ascii="Calibri" w:hAnsi="Calibri"/>
          <w:b/>
          <w:i w:val="0"/>
          <w:color w:val="000000"/>
          <w:sz w:val="21"/>
        </w:rPr>
        <w:t xml:space="preserve">Statut : </w:t>
      </w:r>
      <w:r>
        <w:rPr>
          <w:rFonts w:ascii="Calibri" w:hAnsi="Calibri"/>
          <w:b w:val="0"/>
          <w:i w:val="0"/>
          <w:color w:val="000000"/>
          <w:sz w:val="21"/>
        </w:rPr>
        <w:t>Rapport exploratoire corrigé et paquet de livraison</w:t>
      </w:r>
    </w:p>
    <w:p>
      <w:pPr>
        <w:spacing w:before="80" w:after="200" w:line="264" w:lineRule="auto"/>
        <w:ind w:left="230" w:right="230"/>
        <w:shd w:fill="F2F2F2"/>
      </w:pPr>
      <w:r>
        <w:rPr>
          <w:rFonts w:ascii="Calibri" w:hAnsi="Calibri"/>
          <w:b/>
          <w:i w:val="0"/>
          <w:color w:val="000000"/>
          <w:sz w:val="21"/>
        </w:rPr>
        <w:t xml:space="preserve">Conclusion principale. </w:t>
      </w:r>
      <w:r>
        <w:rPr>
          <w:rFonts w:ascii="Calibri" w:hAnsi="Calibri"/>
          <w:b w:val="0"/>
          <w:i w:val="0"/>
          <w:color w:val="000000"/>
          <w:sz w:val="21"/>
        </w:rPr>
        <w:t>L'association globale THI-activité est positive et demeure positive après contrôle d'une tendance calendaire linéaire. L'effet strictement intra-jour est plus faible et non concluant. Les résultats décrivent donc une association exploratoire, sans preuve d'un effet thermique causal indépendant.</w:t>
      </w:r>
    </w:p>
    <w:p>
      <w:pPr>
        <w:pStyle w:val="Heading1"/>
      </w:pPr>
      <w:r>
        <w:t>1. Correspondance avec le SOW</w:t>
      </w:r>
    </w:p>
    <w:tbl>
      <w:tblPr>
        <w:tblStyle w:val="TableGrid"/>
        <w:tblW w:type="dxa" w:w="9360"/>
        <w:jc w:val="left"/>
        <w:tblLayout w:type="fixed"/>
        <w:tblLook w:firstColumn="1" w:firstRow="1" w:lastColumn="0" w:lastRow="0" w:noHBand="0" w:noVBand="1" w:val="04A0"/>
        <w:tblInd w:w="120" w:type="dxa"/>
        <w:tblBorders>
          <w:top w:val="single" w:sz="4" w:color="B7B7B7"/>
          <w:left w:val="single" w:sz="4" w:color="B7B7B7"/>
          <w:bottom w:val="single" w:sz="4" w:color="B7B7B7"/>
          <w:right w:val="single" w:sz="4" w:color="B7B7B7"/>
          <w:insideH w:val="single" w:sz="4" w:color="B7B7B7"/>
          <w:insideV w:val="single" w:sz="4" w:color="B7B7B7"/>
        </w:tblBorders>
      </w:tblPr>
      <w:tblGrid>
        <w:gridCol w:w="4100"/>
        <w:gridCol w:w="5260"/>
      </w:tblGrid>
      <w:tr>
        <w:trPr>
          <w:cantSplit/>
          <w:tblHeader/>
        </w:trPr>
        <w:tc>
          <w:tcPr>
            <w:tcW w:type="dxa" w:w="4100"/>
            <w:shd w:fill="000000"/>
            <w:vAlign w:val="center"/>
            <w:tcMar>
              <w:top w:w="80" w:type="dxa"/>
              <w:start w:w="120" w:type="dxa"/>
              <w:bottom w:w="80" w:type="dxa"/>
              <w:end w:w="120" w:type="dxa"/>
            </w:tcMar>
          </w:tcPr>
          <w:p>
            <w:pPr>
              <w:keepNext/>
              <w:spacing w:after="0"/>
            </w:pPr>
            <w:r>
              <w:rPr>
                <w:rFonts w:ascii="Calibri" w:hAnsi="Calibri"/>
                <w:b/>
                <w:i w:val="0"/>
                <w:color w:val="FFFFFF"/>
                <w:sz w:val="19"/>
              </w:rPr>
              <w:t>Livrable SOW</w:t>
            </w:r>
          </w:p>
        </w:tc>
        <w:tc>
          <w:tcPr>
            <w:tcW w:type="dxa" w:w="5260"/>
            <w:shd w:fill="000000"/>
            <w:vAlign w:val="center"/>
            <w:tcMar>
              <w:top w:w="80" w:type="dxa"/>
              <w:start w:w="120" w:type="dxa"/>
              <w:bottom w:w="80" w:type="dxa"/>
              <w:end w:w="120" w:type="dxa"/>
            </w:tcMar>
          </w:tcPr>
          <w:p>
            <w:pPr>
              <w:keepNext/>
              <w:spacing w:after="0"/>
            </w:pPr>
            <w:r>
              <w:rPr>
                <w:rFonts w:ascii="Calibri" w:hAnsi="Calibri"/>
                <w:b/>
                <w:i w:val="0"/>
                <w:color w:val="FFFFFF"/>
                <w:sz w:val="19"/>
              </w:rPr>
              <w:t>Fichier livré</w:t>
            </w:r>
          </w:p>
        </w:tc>
      </w:tr>
      <w:tr>
        <w:trPr>
          <w:cantSplit/>
        </w:trPr>
        <w:tc>
          <w:tcPr>
            <w:tcW w:type="dxa" w:w="410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2.1 Jeu intégré : accéléromètres + environnement + comportements</w:t>
            </w:r>
          </w:p>
        </w:tc>
        <w:tc>
          <w:tcPr>
            <w:tcW w:type="dxa" w:w="526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DONNEES_SYNCHRONISEES/summer2019_multimodal_cow_day.csv</w:t>
            </w:r>
          </w:p>
        </w:tc>
      </w:tr>
      <w:tr>
        <w:trPr>
          <w:cantSplit/>
        </w:trPr>
        <w:tc>
          <w:tcPr>
            <w:tcW w:type="dxa" w:w="410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2.1 Documentation de la synchronisation</w:t>
            </w:r>
          </w:p>
        </w:tc>
        <w:tc>
          <w:tcPr>
            <w:tcW w:type="dxa" w:w="526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NOTES_SOW/documentation_synchronisation.md</w:t>
            </w:r>
          </w:p>
        </w:tc>
      </w:tr>
      <w:tr>
        <w:trPr>
          <w:cantSplit/>
        </w:trPr>
        <w:tc>
          <w:tcPr>
            <w:tcW w:type="dxa" w:w="410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2.2 Rapport d'analyse exploratoire</w:t>
            </w:r>
          </w:p>
        </w:tc>
        <w:tc>
          <w:tcPr>
            <w:tcW w:type="dxa" w:w="526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RAPPORTS/Objectif2_rapport_livraison.docx</w:t>
            </w:r>
          </w:p>
        </w:tc>
      </w:tr>
      <w:tr>
        <w:trPr>
          <w:cantSplit/>
        </w:trPr>
        <w:tc>
          <w:tcPr>
            <w:tcW w:type="dxa" w:w="4100"/>
            <w:vAlign w:val="center"/>
            <w:tcMar>
              <w:top w:w="80" w:type="dxa"/>
              <w:start w:w="120" w:type="dxa"/>
              <w:bottom w:w="80" w:type="dxa"/>
              <w:end w:w="120" w:type="dxa"/>
            </w:tcMar>
          </w:tcPr>
          <w:p>
            <w:pPr>
              <w:keepNext w:val="0"/>
              <w:spacing w:after="0" w:line="240" w:lineRule="auto"/>
            </w:pPr>
            <w:r>
              <w:rPr>
                <w:rFonts w:ascii="Calibri" w:hAnsi="Calibri"/>
                <w:b w:val="0"/>
                <w:i w:val="0"/>
                <w:color w:val="000000"/>
                <w:sz w:val="18"/>
              </w:rPr>
              <w:t>2.2 Faisabilité d'une modélisation intégrée</w:t>
            </w:r>
          </w:p>
        </w:tc>
        <w:tc>
          <w:tcPr>
            <w:tcW w:type="dxa" w:w="5260"/>
            <w:vAlign w:val="center"/>
            <w:tcMar>
              <w:top w:w="80" w:type="dxa"/>
              <w:start w:w="120" w:type="dxa"/>
              <w:bottom w:w="80" w:type="dxa"/>
              <w:end w:w="120" w:type="dxa"/>
            </w:tcMar>
          </w:tcPr>
          <w:p>
            <w:pPr>
              <w:keepNext w:val="0"/>
              <w:spacing w:after="0" w:line="240" w:lineRule="auto"/>
            </w:pPr>
            <w:r>
              <w:rPr>
                <w:rFonts w:ascii="Calibri" w:hAnsi="Calibri"/>
                <w:b w:val="0"/>
                <w:i w:val="0"/>
                <w:color w:val="000000"/>
                <w:sz w:val="18"/>
              </w:rPr>
              <w:t>NOTES_SOW/notes_faisabilite_modelisation.md</w:t>
            </w:r>
          </w:p>
        </w:tc>
      </w:tr>
    </w:tbl>
    <w:p>
      <w:pPr>
        <w:spacing w:after="0"/>
      </w:pPr>
    </w:p>
    <w:p>
      <w:pPr>
        <w:pStyle w:val="Heading1"/>
      </w:pPr>
      <w:r>
        <w:t>2. Synchronisation des données</w:t>
      </w:r>
    </w:p>
    <w:p>
      <w:pPr>
        <w:spacing w:after="120" w:line="264" w:lineRule="auto"/>
      </w:pPr>
      <w:r>
        <w:rPr>
          <w:rFonts w:ascii="Calibri" w:hAnsi="Calibri"/>
          <w:b/>
          <w:i w:val="0"/>
          <w:color w:val="000000"/>
          <w:sz w:val="21"/>
        </w:rPr>
        <w:t xml:space="preserve">Activité et environnement. </w:t>
      </w:r>
      <w:r>
        <w:rPr>
          <w:rFonts w:ascii="Calibri" w:hAnsi="Calibri"/>
          <w:b w:val="0"/>
          <w:i w:val="0"/>
          <w:color w:val="000000"/>
          <w:sz w:val="21"/>
        </w:rPr>
        <w:t>87 501 intervalles vache-15 min, 17 vaches et 62 jours. Les mesures IceTag sont appariées aux sondes HOBO extérieures, agrégées au même pas de 15 minutes.</w:t>
      </w:r>
    </w:p>
    <w:p>
      <w:pPr>
        <w:spacing w:after="120" w:line="264" w:lineRule="auto"/>
      </w:pPr>
      <w:r>
        <w:rPr>
          <w:rFonts w:ascii="Calibri" w:hAnsi="Calibri"/>
          <w:b/>
          <w:i w:val="0"/>
          <w:color w:val="000000"/>
          <w:sz w:val="21"/>
        </w:rPr>
        <w:t xml:space="preserve">Périmètre de l'analyse. </w:t>
      </w:r>
      <w:r>
        <w:rPr>
          <w:rFonts w:ascii="Calibri" w:hAnsi="Calibri"/>
          <w:b w:val="0"/>
          <w:i w:val="0"/>
          <w:color w:val="000000"/>
          <w:sz w:val="21"/>
        </w:rPr>
        <w:t>Le corpus Summer 2019 traité à l'Objectif 1 compte 139 111 intervalles et 18 vaches (5 juin au 6 septembre 2019). Les sondes environnementales HOBO ne couvrent la période qu'à partir du 1er juillet 2019 : l'analyse environnement-activité porte donc sur le sous-ensemble apparié de 87 501 intervalles (62,9 % du corpus), 17 vaches et 62 jours (1er juillet au 6 septembre). La vache 2067 est absente de ce sous-ensemble, faute de mesure environnementale concomitante. Cet écart avec l'Objectif 1 est attendu et ne traduit pas une perte de données.</w:t>
      </w:r>
    </w:p>
    <w:p>
      <w:pPr>
        <w:spacing w:after="120" w:line="264" w:lineRule="auto"/>
      </w:pPr>
      <w:r>
        <w:rPr>
          <w:rFonts w:ascii="Calibri" w:hAnsi="Calibri"/>
          <w:b/>
          <w:i w:val="0"/>
          <w:color w:val="000000"/>
          <w:sz w:val="21"/>
        </w:rPr>
        <w:t xml:space="preserve">Comportements. </w:t>
      </w:r>
      <w:r>
        <w:rPr>
          <w:rFonts w:ascii="Calibri" w:hAnsi="Calibri"/>
          <w:b w:val="0"/>
          <w:i w:val="0"/>
          <w:color w:val="000000"/>
          <w:sz w:val="21"/>
        </w:rPr>
        <w:t>51 scans sur 8 jours, pour 8 vaches, reliés aux conditions du jour.</w:t>
      </w:r>
    </w:p>
    <w:p>
      <w:pPr>
        <w:spacing w:after="120" w:line="264" w:lineRule="auto"/>
      </w:pPr>
      <w:r>
        <w:rPr>
          <w:rFonts w:ascii="Calibri" w:hAnsi="Calibri"/>
          <w:b/>
          <w:i w:val="0"/>
          <w:color w:val="000000"/>
          <w:sz w:val="21"/>
        </w:rPr>
        <w:t xml:space="preserve">Table trimodale. </w:t>
      </w:r>
      <w:r>
        <w:rPr>
          <w:rFonts w:ascii="Calibri" w:hAnsi="Calibri"/>
          <w:b w:val="0"/>
          <w:i w:val="0"/>
          <w:color w:val="000000"/>
          <w:sz w:val="21"/>
        </w:rPr>
        <w:t>49 scans sur 51 disposent simultanément du comportement, de l'environnement et de l'activité quotidienne. Deux scans de la vache 5169 restent documentés avec activité IceTag absente.</w:t>
      </w:r>
    </w:p>
    <w:tbl>
      <w:tblPr>
        <w:tblStyle w:val="TableGrid"/>
        <w:tblW w:type="dxa" w:w="9360"/>
        <w:jc w:val="left"/>
        <w:tblLayout w:type="fixed"/>
        <w:tblLook w:firstColumn="1" w:firstRow="1" w:lastColumn="0" w:lastRow="0" w:noHBand="0" w:noVBand="1" w:val="04A0"/>
        <w:tblInd w:w="120" w:type="dxa"/>
        <w:tblBorders>
          <w:top w:val="single" w:sz="4" w:color="B7B7B7"/>
          <w:left w:val="single" w:sz="4" w:color="B7B7B7"/>
          <w:bottom w:val="single" w:sz="4" w:color="B7B7B7"/>
          <w:right w:val="single" w:sz="4" w:color="B7B7B7"/>
          <w:insideH w:val="single" w:sz="4" w:color="B7B7B7"/>
          <w:insideV w:val="single" w:sz="4" w:color="B7B7B7"/>
        </w:tblBorders>
      </w:tblPr>
      <w:tblGrid>
        <w:gridCol w:w="3900"/>
        <w:gridCol w:w="1900"/>
        <w:gridCol w:w="3560"/>
      </w:tblGrid>
      <w:tr>
        <w:trPr>
          <w:cantSplit/>
          <w:tblHeader/>
        </w:trPr>
        <w:tc>
          <w:tcPr>
            <w:tcW w:type="dxa" w:w="3900"/>
            <w:shd w:fill="000000"/>
            <w:vAlign w:val="center"/>
            <w:tcMar>
              <w:top w:w="80" w:type="dxa"/>
              <w:start w:w="120" w:type="dxa"/>
              <w:bottom w:w="80" w:type="dxa"/>
              <w:end w:w="120" w:type="dxa"/>
            </w:tcMar>
          </w:tcPr>
          <w:p>
            <w:pPr>
              <w:keepNext/>
              <w:spacing w:after="0"/>
            </w:pPr>
            <w:r>
              <w:rPr>
                <w:rFonts w:ascii="Calibri" w:hAnsi="Calibri"/>
                <w:b/>
                <w:i w:val="0"/>
                <w:color w:val="FFFFFF"/>
                <w:sz w:val="19"/>
              </w:rPr>
              <w:t>Fichier</w:t>
            </w:r>
          </w:p>
        </w:tc>
        <w:tc>
          <w:tcPr>
            <w:tcW w:type="dxa" w:w="1900"/>
            <w:shd w:fill="000000"/>
            <w:vAlign w:val="center"/>
            <w:tcMar>
              <w:top w:w="80" w:type="dxa"/>
              <w:start w:w="120" w:type="dxa"/>
              <w:bottom w:w="80" w:type="dxa"/>
              <w:end w:w="120" w:type="dxa"/>
            </w:tcMar>
          </w:tcPr>
          <w:p>
            <w:pPr>
              <w:keepNext/>
              <w:spacing w:after="0"/>
            </w:pPr>
            <w:r>
              <w:rPr>
                <w:rFonts w:ascii="Calibri" w:hAnsi="Calibri"/>
                <w:b/>
                <w:i w:val="0"/>
                <w:color w:val="FFFFFF"/>
                <w:sz w:val="19"/>
              </w:rPr>
              <w:t>Niveau</w:t>
            </w:r>
          </w:p>
        </w:tc>
        <w:tc>
          <w:tcPr>
            <w:tcW w:type="dxa" w:w="3560"/>
            <w:shd w:fill="000000"/>
            <w:vAlign w:val="center"/>
            <w:tcMar>
              <w:top w:w="80" w:type="dxa"/>
              <w:start w:w="120" w:type="dxa"/>
              <w:bottom w:w="80" w:type="dxa"/>
              <w:end w:w="120" w:type="dxa"/>
            </w:tcMar>
          </w:tcPr>
          <w:p>
            <w:pPr>
              <w:keepNext/>
              <w:spacing w:after="0"/>
            </w:pPr>
            <w:r>
              <w:rPr>
                <w:rFonts w:ascii="Calibri" w:hAnsi="Calibri"/>
                <w:b/>
                <w:i w:val="0"/>
                <w:color w:val="FFFFFF"/>
                <w:sz w:val="19"/>
              </w:rPr>
              <w:t>Rôle</w:t>
            </w:r>
          </w:p>
        </w:tc>
      </w:tr>
      <w:tr>
        <w:trPr>
          <w:cantSplit/>
        </w:trPr>
        <w:tc>
          <w:tcPr>
            <w:tcW w:type="dxa" w:w="390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summer2019_icetag_environnement_15min.csv</w:t>
            </w:r>
          </w:p>
        </w:tc>
        <w:tc>
          <w:tcPr>
            <w:tcW w:type="dxa" w:w="190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vache-15 min</w:t>
            </w:r>
          </w:p>
        </w:tc>
        <w:tc>
          <w:tcPr>
            <w:tcW w:type="dxa" w:w="356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Activité IceTag + HOBO extérieur</w:t>
            </w:r>
          </w:p>
        </w:tc>
      </w:tr>
      <w:tr>
        <w:trPr>
          <w:cantSplit/>
        </w:trPr>
        <w:tc>
          <w:tcPr>
            <w:tcW w:type="dxa" w:w="390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summer2019_comportement_environnement.csv</w:t>
            </w:r>
          </w:p>
        </w:tc>
        <w:tc>
          <w:tcPr>
            <w:tcW w:type="dxa" w:w="190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vache-jour-scan</w:t>
            </w:r>
          </w:p>
        </w:tc>
        <w:tc>
          <w:tcPr>
            <w:tcW w:type="dxa" w:w="356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Comportement + conditions journalières</w:t>
            </w:r>
          </w:p>
        </w:tc>
      </w:tr>
      <w:tr>
        <w:trPr>
          <w:cantSplit/>
        </w:trPr>
        <w:tc>
          <w:tcPr>
            <w:tcW w:type="dxa" w:w="3900"/>
            <w:vAlign w:val="center"/>
            <w:tcMar>
              <w:top w:w="80" w:type="dxa"/>
              <w:start w:w="120" w:type="dxa"/>
              <w:bottom w:w="80" w:type="dxa"/>
              <w:end w:w="120" w:type="dxa"/>
            </w:tcMar>
          </w:tcPr>
          <w:p>
            <w:pPr>
              <w:keepNext w:val="0"/>
              <w:spacing w:after="0" w:line="240" w:lineRule="auto"/>
            </w:pPr>
            <w:r>
              <w:rPr>
                <w:rFonts w:ascii="Calibri" w:hAnsi="Calibri"/>
                <w:b w:val="0"/>
                <w:i w:val="0"/>
                <w:color w:val="000000"/>
                <w:sz w:val="18"/>
              </w:rPr>
              <w:t>summer2019_multimodal_cow_day.csv</w:t>
            </w:r>
          </w:p>
        </w:tc>
        <w:tc>
          <w:tcPr>
            <w:tcW w:type="dxa" w:w="1900"/>
            <w:vAlign w:val="center"/>
            <w:tcMar>
              <w:top w:w="80" w:type="dxa"/>
              <w:start w:w="120" w:type="dxa"/>
              <w:bottom w:w="80" w:type="dxa"/>
              <w:end w:w="120" w:type="dxa"/>
            </w:tcMar>
          </w:tcPr>
          <w:p>
            <w:pPr>
              <w:keepNext w:val="0"/>
              <w:spacing w:after="0" w:line="240" w:lineRule="auto"/>
            </w:pPr>
            <w:r>
              <w:rPr>
                <w:rFonts w:ascii="Calibri" w:hAnsi="Calibri"/>
                <w:b w:val="0"/>
                <w:i w:val="0"/>
                <w:color w:val="000000"/>
                <w:sz w:val="18"/>
              </w:rPr>
              <w:t>vache-jour-scan</w:t>
            </w:r>
          </w:p>
        </w:tc>
        <w:tc>
          <w:tcPr>
            <w:tcW w:type="dxa" w:w="3560"/>
            <w:vAlign w:val="center"/>
            <w:tcMar>
              <w:top w:w="80" w:type="dxa"/>
              <w:start w:w="120" w:type="dxa"/>
              <w:bottom w:w="80" w:type="dxa"/>
              <w:end w:w="120" w:type="dxa"/>
            </w:tcMar>
          </w:tcPr>
          <w:p>
            <w:pPr>
              <w:keepNext w:val="0"/>
              <w:spacing w:after="0" w:line="240" w:lineRule="auto"/>
            </w:pPr>
            <w:r>
              <w:rPr>
                <w:rFonts w:ascii="Calibri" w:hAnsi="Calibri"/>
                <w:b w:val="0"/>
                <w:i w:val="0"/>
                <w:color w:val="000000"/>
                <w:sz w:val="18"/>
              </w:rPr>
              <w:t>Livrable trimodal avec statut d'intégration</w:t>
            </w:r>
          </w:p>
        </w:tc>
      </w:tr>
    </w:tbl>
    <w:p>
      <w:pPr>
        <w:spacing w:after="0"/>
      </w:pPr>
    </w:p>
    <w:p>
      <w:pPr>
        <w:pStyle w:val="Heading1"/>
      </w:pPr>
      <w:r>
        <w:t>3. Activité locomotrice et THI</w:t>
      </w:r>
    </w:p>
    <w:p>
      <w:pPr>
        <w:spacing w:after="120" w:line="264" w:lineRule="auto"/>
      </w:pPr>
      <w:r>
        <w:rPr>
          <w:rFonts w:ascii="Calibri" w:hAnsi="Calibri"/>
          <w:b/>
          <w:i w:val="0"/>
          <w:color w:val="000000"/>
          <w:sz w:val="21"/>
        </w:rPr>
        <w:t xml:space="preserve">Plage observée. </w:t>
      </w:r>
      <w:r>
        <w:rPr>
          <w:rFonts w:ascii="Calibri" w:hAnsi="Calibri"/>
          <w:b w:val="0"/>
          <w:i w:val="0"/>
          <w:color w:val="000000"/>
          <w:sz w:val="21"/>
        </w:rPr>
        <w:t>THI de 50,6 à 83,9, moyenne 68,4. Seulement 1,1 % des intervalles atteignent THI ≥ 80.</w:t>
      </w:r>
    </w:p>
    <w:tbl>
      <w:tblPr>
        <w:tblStyle w:val="TableGrid"/>
        <w:tblW w:type="dxa" w:w="9360"/>
        <w:jc w:val="left"/>
        <w:tblLayout w:type="fixed"/>
        <w:tblLook w:firstColumn="1" w:firstRow="1" w:lastColumn="0" w:lastRow="0" w:noHBand="0" w:noVBand="1" w:val="04A0"/>
        <w:tblInd w:w="120" w:type="dxa"/>
        <w:tblBorders>
          <w:top w:val="single" w:sz="4" w:color="B7B7B7"/>
          <w:left w:val="single" w:sz="4" w:color="B7B7B7"/>
          <w:bottom w:val="single" w:sz="4" w:color="B7B7B7"/>
          <w:right w:val="single" w:sz="4" w:color="B7B7B7"/>
          <w:insideH w:val="single" w:sz="4" w:color="B7B7B7"/>
          <w:insideV w:val="single" w:sz="4" w:color="B7B7B7"/>
        </w:tblBorders>
      </w:tblPr>
      <w:tblGrid>
        <w:gridCol w:w="4300"/>
        <w:gridCol w:w="1450"/>
        <w:gridCol w:w="2250"/>
        <w:gridCol w:w="1360"/>
      </w:tblGrid>
      <w:tr>
        <w:trPr>
          <w:cantSplit/>
          <w:tblHeader/>
        </w:trPr>
        <w:tc>
          <w:tcPr>
            <w:tcW w:type="dxa" w:w="4300"/>
            <w:shd w:fill="000000"/>
            <w:vAlign w:val="center"/>
            <w:tcMar>
              <w:top w:w="80" w:type="dxa"/>
              <w:start w:w="120" w:type="dxa"/>
              <w:bottom w:w="80" w:type="dxa"/>
              <w:end w:w="120" w:type="dxa"/>
            </w:tcMar>
          </w:tcPr>
          <w:p>
            <w:pPr>
              <w:keepNext/>
              <w:spacing w:after="0"/>
            </w:pPr>
            <w:r>
              <w:rPr>
                <w:rFonts w:ascii="Calibri" w:hAnsi="Calibri"/>
                <w:b/>
                <w:i w:val="0"/>
                <w:color w:val="FFFFFF"/>
                <w:sz w:val="19"/>
              </w:rPr>
              <w:t>Analyse</w:t>
            </w:r>
          </w:p>
        </w:tc>
        <w:tc>
          <w:tcPr>
            <w:tcW w:type="dxa" w:w="1450"/>
            <w:shd w:fill="000000"/>
            <w:vAlign w:val="center"/>
            <w:tcMar>
              <w:top w:w="80" w:type="dxa"/>
              <w:start w:w="120" w:type="dxa"/>
              <w:bottom w:w="80" w:type="dxa"/>
              <w:end w:w="120" w:type="dxa"/>
            </w:tcMar>
          </w:tcPr>
          <w:p>
            <w:pPr>
              <w:keepNext/>
              <w:spacing w:after="0"/>
            </w:pPr>
            <w:r>
              <w:rPr>
                <w:rFonts w:ascii="Calibri" w:hAnsi="Calibri"/>
                <w:b/>
                <w:i w:val="0"/>
                <w:color w:val="FFFFFF"/>
                <w:sz w:val="19"/>
              </w:rPr>
              <w:t>Effet THI</w:t>
            </w:r>
          </w:p>
        </w:tc>
        <w:tc>
          <w:tcPr>
            <w:tcW w:type="dxa" w:w="2250"/>
            <w:shd w:fill="000000"/>
            <w:vAlign w:val="center"/>
            <w:tcMar>
              <w:top w:w="80" w:type="dxa"/>
              <w:start w:w="120" w:type="dxa"/>
              <w:bottom w:w="80" w:type="dxa"/>
              <w:end w:w="120" w:type="dxa"/>
            </w:tcMar>
          </w:tcPr>
          <w:p>
            <w:pPr>
              <w:keepNext/>
              <w:spacing w:after="0"/>
            </w:pPr>
            <w:r>
              <w:rPr>
                <w:rFonts w:ascii="Calibri" w:hAnsi="Calibri"/>
                <w:b/>
                <w:i w:val="0"/>
                <w:color w:val="FFFFFF"/>
                <w:sz w:val="19"/>
              </w:rPr>
              <w:t>IC 95 %</w:t>
            </w:r>
          </w:p>
        </w:tc>
        <w:tc>
          <w:tcPr>
            <w:tcW w:type="dxa" w:w="1360"/>
            <w:shd w:fill="000000"/>
            <w:vAlign w:val="center"/>
            <w:tcMar>
              <w:top w:w="80" w:type="dxa"/>
              <w:start w:w="120" w:type="dxa"/>
              <w:bottom w:w="80" w:type="dxa"/>
              <w:end w:w="120" w:type="dxa"/>
            </w:tcMar>
          </w:tcPr>
          <w:p>
            <w:pPr>
              <w:keepNext/>
              <w:spacing w:after="0"/>
            </w:pPr>
            <w:r>
              <w:rPr>
                <w:rFonts w:ascii="Calibri" w:hAnsi="Calibri"/>
                <w:b/>
                <w:i w:val="0"/>
                <w:color w:val="FFFFFF"/>
                <w:sz w:val="19"/>
              </w:rPr>
              <w:t>p</w:t>
            </w:r>
          </w:p>
        </w:tc>
      </w:tr>
      <w:tr>
        <w:trPr>
          <w:cantSplit/>
        </w:trPr>
        <w:tc>
          <w:tcPr>
            <w:tcW w:type="dxa" w:w="430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Modèle mixte vache : Steps ~ THI + heure</w:t>
            </w:r>
          </w:p>
        </w:tc>
        <w:tc>
          <w:tcPr>
            <w:tcW w:type="dxa" w:w="145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0,198</w:t>
            </w:r>
          </w:p>
        </w:tc>
        <w:tc>
          <w:tcPr>
            <w:tcW w:type="dxa" w:w="225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[0,180 ; 0,216]</w:t>
            </w:r>
          </w:p>
        </w:tc>
        <w:tc>
          <w:tcPr>
            <w:tcW w:type="dxa" w:w="136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7,69e-102</w:t>
            </w:r>
          </w:p>
        </w:tc>
      </w:tr>
      <w:tr>
        <w:trPr>
          <w:cantSplit/>
        </w:trPr>
        <w:tc>
          <w:tcPr>
            <w:tcW w:type="dxa" w:w="430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Steps ~ THI + heure</w:t>
            </w:r>
          </w:p>
        </w:tc>
        <w:tc>
          <w:tcPr>
            <w:tcW w:type="dxa" w:w="145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0,221</w:t>
            </w:r>
          </w:p>
        </w:tc>
        <w:tc>
          <w:tcPr>
            <w:tcW w:type="dxa" w:w="225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[0,141 ; 0,301]</w:t>
            </w:r>
          </w:p>
        </w:tc>
        <w:tc>
          <w:tcPr>
            <w:tcW w:type="dxa" w:w="136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6,15e-8</w:t>
            </w:r>
          </w:p>
        </w:tc>
      </w:tr>
      <w:tr>
        <w:trPr>
          <w:cantSplit/>
        </w:trPr>
        <w:tc>
          <w:tcPr>
            <w:tcW w:type="dxa" w:w="430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Steps ~ THI + heure + jour</w:t>
            </w:r>
          </w:p>
        </w:tc>
        <w:tc>
          <w:tcPr>
            <w:tcW w:type="dxa" w:w="145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0,061</w:t>
            </w:r>
          </w:p>
        </w:tc>
        <w:tc>
          <w:tcPr>
            <w:tcW w:type="dxa" w:w="225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[-0,070 ; 0,192]</w:t>
            </w:r>
          </w:p>
        </w:tc>
        <w:tc>
          <w:tcPr>
            <w:tcW w:type="dxa" w:w="136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0,364</w:t>
            </w:r>
          </w:p>
        </w:tc>
      </w:tr>
      <w:tr>
        <w:trPr>
          <w:cantSplit/>
        </w:trPr>
        <w:tc>
          <w:tcPr>
            <w:tcW w:type="dxa" w:w="4300"/>
            <w:vAlign w:val="center"/>
            <w:tcMar>
              <w:top w:w="80" w:type="dxa"/>
              <w:start w:w="120" w:type="dxa"/>
              <w:bottom w:w="80" w:type="dxa"/>
              <w:end w:w="120" w:type="dxa"/>
            </w:tcMar>
          </w:tcPr>
          <w:p>
            <w:pPr>
              <w:keepNext w:val="0"/>
              <w:spacing w:after="0" w:line="240" w:lineRule="auto"/>
            </w:pPr>
            <w:r>
              <w:rPr>
                <w:rFonts w:ascii="Calibri" w:hAnsi="Calibri"/>
                <w:b w:val="0"/>
                <w:i w:val="0"/>
                <w:color w:val="000000"/>
                <w:sz w:val="18"/>
              </w:rPr>
              <w:t>Motion Index ~ THI + heure + jour</w:t>
            </w:r>
          </w:p>
        </w:tc>
        <w:tc>
          <w:tcPr>
            <w:tcW w:type="dxa" w:w="1450"/>
            <w:vAlign w:val="center"/>
            <w:tcMar>
              <w:top w:w="80" w:type="dxa"/>
              <w:start w:w="120" w:type="dxa"/>
              <w:bottom w:w="80" w:type="dxa"/>
              <w:end w:w="120" w:type="dxa"/>
            </w:tcMar>
          </w:tcPr>
          <w:p>
            <w:pPr>
              <w:keepNext w:val="0"/>
              <w:spacing w:after="0" w:line="240" w:lineRule="auto"/>
            </w:pPr>
            <w:r>
              <w:rPr>
                <w:rFonts w:ascii="Calibri" w:hAnsi="Calibri"/>
                <w:b w:val="0"/>
                <w:i w:val="0"/>
                <w:color w:val="000000"/>
                <w:sz w:val="18"/>
              </w:rPr>
              <w:t>0,091</w:t>
            </w:r>
          </w:p>
        </w:tc>
        <w:tc>
          <w:tcPr>
            <w:tcW w:type="dxa" w:w="2250"/>
            <w:vAlign w:val="center"/>
            <w:tcMar>
              <w:top w:w="80" w:type="dxa"/>
              <w:start w:w="120" w:type="dxa"/>
              <w:bottom w:w="80" w:type="dxa"/>
              <w:end w:w="120" w:type="dxa"/>
            </w:tcMar>
          </w:tcPr>
          <w:p>
            <w:pPr>
              <w:keepNext w:val="0"/>
              <w:spacing w:after="0" w:line="240" w:lineRule="auto"/>
            </w:pPr>
            <w:r>
              <w:rPr>
                <w:rFonts w:ascii="Calibri" w:hAnsi="Calibri"/>
                <w:b w:val="0"/>
                <w:i w:val="0"/>
                <w:color w:val="000000"/>
                <w:sz w:val="18"/>
              </w:rPr>
              <w:t>[-0,473 ; 0,655]</w:t>
            </w:r>
          </w:p>
        </w:tc>
        <w:tc>
          <w:tcPr>
            <w:tcW w:type="dxa" w:w="1360"/>
            <w:vAlign w:val="center"/>
            <w:tcMar>
              <w:top w:w="80" w:type="dxa"/>
              <w:start w:w="120" w:type="dxa"/>
              <w:bottom w:w="80" w:type="dxa"/>
              <w:end w:w="120" w:type="dxa"/>
            </w:tcMar>
          </w:tcPr>
          <w:p>
            <w:pPr>
              <w:keepNext w:val="0"/>
              <w:spacing w:after="0" w:line="240" w:lineRule="auto"/>
            </w:pPr>
            <w:r>
              <w:rPr>
                <w:rFonts w:ascii="Calibri" w:hAnsi="Calibri"/>
                <w:b w:val="0"/>
                <w:i w:val="0"/>
                <w:color w:val="000000"/>
                <w:sz w:val="18"/>
              </w:rPr>
              <w:t>0,752</w:t>
            </w:r>
          </w:p>
        </w:tc>
      </w:tr>
    </w:tbl>
    <w:p>
      <w:pPr>
        <w:spacing w:after="0"/>
      </w:pPr>
    </w:p>
    <w:p>
      <w:pPr>
        <w:spacing w:before="80" w:after="200" w:line="264" w:lineRule="auto"/>
        <w:ind w:left="230" w:right="230"/>
        <w:shd w:fill="F2F2F2"/>
      </w:pPr>
      <w:r>
        <w:rPr>
          <w:rFonts w:ascii="Calibri" w:hAnsi="Calibri"/>
          <w:b/>
          <w:i w:val="0"/>
          <w:color w:val="000000"/>
          <w:sz w:val="21"/>
        </w:rPr>
        <w:t xml:space="preserve">Interprétation. </w:t>
      </w:r>
      <w:r>
        <w:rPr>
          <w:rFonts w:ascii="Calibri" w:hAnsi="Calibri"/>
          <w:b w:val="0"/>
          <w:i w:val="0"/>
          <w:color w:val="000000"/>
          <w:sz w:val="21"/>
        </w:rPr>
        <w:t>Sans contrôle du jour, l'analyse troupeau-timestamp estime un effet de +0,221 pas par unité THI (p = 6,15e-8). Avec contrôle du jour, l'effet est +0,061 (IC 95 % [-0,070 ; 0,192], p = 0,364). Le signal observé dépend donc fortement des différences entre jours.</w:t>
      </w:r>
    </w:p>
    <w:p>
      <w:pPr>
        <w:spacing w:after="120" w:line="264" w:lineRule="auto"/>
      </w:pPr>
      <w:r>
        <w:rPr>
          <w:rFonts w:ascii="Calibri" w:hAnsi="Calibri"/>
          <w:b/>
          <w:i w:val="0"/>
          <w:color w:val="000000"/>
          <w:sz w:val="21"/>
        </w:rPr>
        <w:t xml:space="preserve">Contrôles complémentaires. </w:t>
      </w:r>
      <w:r>
        <w:rPr>
          <w:rFonts w:ascii="Calibri" w:hAnsi="Calibri"/>
          <w:b w:val="0"/>
          <w:i w:val="0"/>
          <w:color w:val="000000"/>
          <w:sz w:val="21"/>
        </w:rPr>
        <w:t>Avec une tendance calendaire linéaire, l'association globale reste positive (+0,129, p = 0,020). Au niveau des 62 unités journalières, elle est estimée à +0,273 (p = 9,20e-8) et reste positive avec la tendance calendaire (+0,162, p = 0,030). Ces analyses renforcent l'existence d'une association entre jours, sans établir une causalité thermique.</w:t>
      </w:r>
    </w:p>
    <w:p>
      <w:pPr>
        <w:spacing w:after="120" w:line="264" w:lineRule="auto"/>
      </w:pPr>
      <w:r>
        <w:rPr>
          <w:rFonts w:ascii="Calibri" w:hAnsi="Calibri"/>
          <w:b/>
          <w:i w:val="0"/>
          <w:color w:val="000000"/>
          <w:sz w:val="21"/>
        </w:rPr>
        <w:t xml:space="preserve">Non-linéarité. </w:t>
      </w:r>
      <w:r>
        <w:rPr>
          <w:rFonts w:ascii="Calibri" w:hAnsi="Calibri"/>
          <w:b w:val="0"/>
          <w:i w:val="0"/>
          <w:color w:val="000000"/>
          <w:sz w:val="21"/>
        </w:rPr>
        <w:t>Après contrôle de l'heure et du jour, le terme quadratique n'est pas concluant (p = 0,224). Les données ne permettent pas d'établir un seuil thermique ou une courbe convexe indépendante du jour.</w:t>
      </w:r>
    </w:p>
    <w:p>
      <w:pPr>
        <w:pStyle w:val="Heading1"/>
      </w:pPr>
      <w:r>
        <w:t>4. Comportements observés et THI</w:t>
      </w:r>
    </w:p>
    <w:p>
      <w:pPr>
        <w:spacing w:after="120" w:line="264" w:lineRule="auto"/>
      </w:pPr>
      <w:r>
        <w:rPr>
          <w:rFonts w:ascii="Calibri" w:hAnsi="Calibri"/>
          <w:b/>
          <w:i w:val="0"/>
          <w:color w:val="000000"/>
          <w:sz w:val="21"/>
        </w:rPr>
        <w:t xml:space="preserve">Résultat exploratoire. </w:t>
      </w:r>
      <w:r>
        <w:rPr>
          <w:rFonts w:ascii="Calibri" w:hAnsi="Calibri"/>
          <w:b w:val="0"/>
          <w:i w:val="0"/>
          <w:color w:val="000000"/>
          <w:sz w:val="21"/>
        </w:rPr>
        <w:t>Au niveau du jour, l'alimentation présente rho = 0,738, p = 0,037, sur seulement 8 jours. Les autres catégories analysées ne sont pas significatives.</w:t>
      </w:r>
    </w:p>
    <w:p>
      <w:pPr>
        <w:spacing w:after="120" w:line="264" w:lineRule="auto"/>
      </w:pPr>
      <w:r>
        <w:rPr>
          <w:rFonts w:ascii="Calibri" w:hAnsi="Calibri"/>
          <w:b/>
          <w:i w:val="0"/>
          <w:color w:val="000000"/>
          <w:sz w:val="21"/>
        </w:rPr>
        <w:t xml:space="preserve">Portée. </w:t>
      </w:r>
      <w:r>
        <w:rPr>
          <w:rFonts w:ascii="Calibri" w:hAnsi="Calibri"/>
          <w:b w:val="0"/>
          <w:i w:val="0"/>
          <w:color w:val="000000"/>
          <w:sz w:val="21"/>
        </w:rPr>
        <w:t>Ce résultat est suggestif, pas confirmatoire. Les 51 scans ne sont pas 51 expositions thermiques indépendantes, puisque plusieurs vaches partagent le même THI journalier.</w:t>
      </w:r>
    </w:p>
    <w:p>
      <w:pPr>
        <w:pStyle w:val="Heading1"/>
      </w:pPr>
      <w:r>
        <w:t>5. Robustesse sur d'autres corpus</w:t>
      </w:r>
    </w:p>
    <w:p>
      <w:pPr>
        <w:spacing w:after="120" w:line="264" w:lineRule="auto"/>
      </w:pPr>
      <w:r>
        <w:rPr>
          <w:rFonts w:ascii="Calibri" w:hAnsi="Calibri"/>
          <w:b/>
          <w:i w:val="0"/>
          <w:color w:val="000000"/>
          <w:sz w:val="21"/>
        </w:rPr>
        <w:t xml:space="preserve">Question posée. </w:t>
      </w:r>
      <w:r>
        <w:rPr>
          <w:rFonts w:ascii="Calibri" w:hAnsi="Calibri"/>
          <w:b w:val="0"/>
          <w:i w:val="0"/>
          <w:color w:val="000000"/>
          <w:sz w:val="21"/>
        </w:rPr>
        <w:t>L'analyse principale porte sur un seul corpus. Pour vérifier que la conclusion ne dépend pas de cette saison, la même méthode a été appliquée à deux corpus supplémentaires.</w:t>
      </w:r>
    </w:p>
    <w:p>
      <w:pPr>
        <w:spacing w:after="120" w:line="264" w:lineRule="auto"/>
      </w:pPr>
      <w:r>
        <w:rPr>
          <w:rFonts w:ascii="Calibri" w:hAnsi="Calibri"/>
          <w:b/>
          <w:i w:val="0"/>
          <w:color w:val="000000"/>
          <w:sz w:val="21"/>
        </w:rPr>
        <w:t xml:space="preserve">Mesure retenue. </w:t>
      </w:r>
      <w:r>
        <w:rPr>
          <w:rFonts w:ascii="Calibri" w:hAnsi="Calibri"/>
          <w:b w:val="0"/>
          <w:i w:val="0"/>
          <w:color w:val="000000"/>
          <w:sz w:val="21"/>
        </w:rPr>
        <w:t>Seul Summer 2019 dispose de sondes extérieures. La comparaison utilise donc la température intérieure, seule mesure commune aux trois corpus. Winter 2019 est écarté : il ne comporte aucune donnée environnementale.</w:t>
      </w:r>
    </w:p>
    <w:tbl>
      <w:tblPr>
        <w:tblStyle w:val="TableGrid"/>
        <w:tblW w:type="dxa" w:w="9360"/>
        <w:jc w:val="left"/>
        <w:tblLayout w:type="fixed"/>
        <w:tblLook w:firstColumn="1" w:firstRow="1" w:lastColumn="0" w:lastRow="0" w:noHBand="0" w:noVBand="1" w:val="04A0"/>
        <w:tblInd w:w="120" w:type="dxa"/>
        <w:tblBorders>
          <w:top w:val="single" w:sz="4" w:color="B7B7B7"/>
          <w:left w:val="single" w:sz="4" w:color="B7B7B7"/>
          <w:bottom w:val="single" w:sz="4" w:color="B7B7B7"/>
          <w:right w:val="single" w:sz="4" w:color="B7B7B7"/>
          <w:insideH w:val="single" w:sz="4" w:color="B7B7B7"/>
          <w:insideV w:val="single" w:sz="4" w:color="B7B7B7"/>
        </w:tblBorders>
      </w:tblPr>
      <w:tblGrid>
        <w:gridCol w:w="1600"/>
        <w:gridCol w:w="800"/>
        <w:gridCol w:w="800"/>
        <w:gridCol w:w="3080"/>
        <w:gridCol w:w="3080"/>
      </w:tblGrid>
      <w:tr>
        <w:trPr>
          <w:cantSplit/>
          <w:tblHeader/>
        </w:trPr>
        <w:tc>
          <w:tcPr>
            <w:tcW w:type="dxa" w:w="1600"/>
            <w:shd w:fill="000000"/>
            <w:vAlign w:val="center"/>
            <w:tcMar>
              <w:top w:w="80" w:type="dxa"/>
              <w:start w:w="120" w:type="dxa"/>
              <w:bottom w:w="80" w:type="dxa"/>
              <w:end w:w="120" w:type="dxa"/>
            </w:tcMar>
          </w:tcPr>
          <w:p>
            <w:pPr>
              <w:keepNext/>
              <w:spacing w:after="0"/>
            </w:pPr>
            <w:r>
              <w:rPr>
                <w:rFonts w:ascii="Calibri" w:hAnsi="Calibri"/>
                <w:b/>
                <w:i w:val="0"/>
                <w:color w:val="FFFFFF"/>
                <w:sz w:val="19"/>
              </w:rPr>
              <w:t>Corpus</w:t>
            </w:r>
          </w:p>
        </w:tc>
        <w:tc>
          <w:tcPr>
            <w:tcW w:type="dxa" w:w="800"/>
            <w:shd w:fill="000000"/>
            <w:vAlign w:val="center"/>
            <w:tcMar>
              <w:top w:w="80" w:type="dxa"/>
              <w:start w:w="120" w:type="dxa"/>
              <w:bottom w:w="80" w:type="dxa"/>
              <w:end w:w="120" w:type="dxa"/>
            </w:tcMar>
          </w:tcPr>
          <w:p>
            <w:pPr>
              <w:keepNext/>
              <w:spacing w:after="0"/>
            </w:pPr>
            <w:r>
              <w:rPr>
                <w:rFonts w:ascii="Calibri" w:hAnsi="Calibri"/>
                <w:b/>
                <w:i w:val="0"/>
                <w:color w:val="FFFFFF"/>
                <w:sz w:val="19"/>
              </w:rPr>
              <w:t>Vaches</w:t>
            </w:r>
          </w:p>
        </w:tc>
        <w:tc>
          <w:tcPr>
            <w:tcW w:type="dxa" w:w="800"/>
            <w:shd w:fill="000000"/>
            <w:vAlign w:val="center"/>
            <w:tcMar>
              <w:top w:w="80" w:type="dxa"/>
              <w:start w:w="120" w:type="dxa"/>
              <w:bottom w:w="80" w:type="dxa"/>
              <w:end w:w="120" w:type="dxa"/>
            </w:tcMar>
          </w:tcPr>
          <w:p>
            <w:pPr>
              <w:keepNext/>
              <w:spacing w:after="0"/>
            </w:pPr>
            <w:r>
              <w:rPr>
                <w:rFonts w:ascii="Calibri" w:hAnsi="Calibri"/>
                <w:b/>
                <w:i w:val="0"/>
                <w:color w:val="FFFFFF"/>
                <w:sz w:val="19"/>
              </w:rPr>
              <w:t>Jours</w:t>
            </w:r>
          </w:p>
        </w:tc>
        <w:tc>
          <w:tcPr>
            <w:tcW w:type="dxa" w:w="3080"/>
            <w:shd w:fill="000000"/>
            <w:vAlign w:val="center"/>
            <w:tcMar>
              <w:top w:w="80" w:type="dxa"/>
              <w:start w:w="120" w:type="dxa"/>
              <w:bottom w:w="80" w:type="dxa"/>
              <w:end w:w="120" w:type="dxa"/>
            </w:tcMar>
          </w:tcPr>
          <w:p>
            <w:pPr>
              <w:keepNext/>
              <w:spacing w:after="0"/>
            </w:pPr>
            <w:r>
              <w:rPr>
                <w:rFonts w:ascii="Calibri" w:hAnsi="Calibri"/>
                <w:b/>
                <w:i w:val="0"/>
                <w:color w:val="FFFFFF"/>
                <w:sz w:val="19"/>
              </w:rPr>
              <w:t>Entre journées</w:t>
            </w:r>
          </w:p>
        </w:tc>
        <w:tc>
          <w:tcPr>
            <w:tcW w:type="dxa" w:w="3080"/>
            <w:shd w:fill="000000"/>
            <w:vAlign w:val="center"/>
            <w:tcMar>
              <w:top w:w="80" w:type="dxa"/>
              <w:start w:w="120" w:type="dxa"/>
              <w:bottom w:w="80" w:type="dxa"/>
              <w:end w:w="120" w:type="dxa"/>
            </w:tcMar>
          </w:tcPr>
          <w:p>
            <w:pPr>
              <w:keepNext/>
              <w:spacing w:after="0"/>
            </w:pPr>
            <w:r>
              <w:rPr>
                <w:rFonts w:ascii="Calibri" w:hAnsi="Calibri"/>
                <w:b/>
                <w:i w:val="0"/>
                <w:color w:val="FFFFFF"/>
                <w:sz w:val="19"/>
              </w:rPr>
              <w:t>Intra-jour strict</w:t>
            </w:r>
          </w:p>
        </w:tc>
      </w:tr>
      <w:tr>
        <w:trPr>
          <w:cantSplit/>
        </w:trPr>
        <w:tc>
          <w:tcPr>
            <w:tcW w:type="dxa" w:w="160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Summer 2019</w:t>
            </w:r>
          </w:p>
        </w:tc>
        <w:tc>
          <w:tcPr>
            <w:tcW w:type="dxa" w:w="80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17</w:t>
            </w:r>
          </w:p>
        </w:tc>
        <w:tc>
          <w:tcPr>
            <w:tcW w:type="dxa" w:w="80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74</w:t>
            </w:r>
          </w:p>
        </w:tc>
        <w:tc>
          <w:tcPr>
            <w:tcW w:type="dxa" w:w="308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+0,527 (p &lt; 0,001)</w:t>
            </w:r>
          </w:p>
        </w:tc>
        <w:tc>
          <w:tcPr>
            <w:tcW w:type="dxa" w:w="308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+0,043 (p = 0,655)</w:t>
            </w:r>
          </w:p>
        </w:tc>
      </w:tr>
      <w:tr>
        <w:trPr>
          <w:cantSplit/>
        </w:trPr>
        <w:tc>
          <w:tcPr>
            <w:tcW w:type="dxa" w:w="160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Fall 2019</w:t>
            </w:r>
          </w:p>
        </w:tc>
        <w:tc>
          <w:tcPr>
            <w:tcW w:type="dxa" w:w="80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30</w:t>
            </w:r>
          </w:p>
        </w:tc>
        <w:tc>
          <w:tcPr>
            <w:tcW w:type="dxa" w:w="80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33</w:t>
            </w:r>
          </w:p>
        </w:tc>
        <w:tc>
          <w:tcPr>
            <w:tcW w:type="dxa" w:w="308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+0,107 (p = 0,618)</w:t>
            </w:r>
          </w:p>
        </w:tc>
        <w:tc>
          <w:tcPr>
            <w:tcW w:type="dxa" w:w="3080"/>
            <w:vAlign w:val="center"/>
            <w:tcMar>
              <w:top w:w="80" w:type="dxa"/>
              <w:start w:w="120" w:type="dxa"/>
              <w:bottom w:w="80" w:type="dxa"/>
              <w:end w:w="120" w:type="dxa"/>
            </w:tcMar>
          </w:tcPr>
          <w:p>
            <w:pPr>
              <w:keepNext/>
              <w:spacing w:after="0" w:line="240" w:lineRule="auto"/>
            </w:pPr>
            <w:r>
              <w:rPr>
                <w:rFonts w:ascii="Calibri" w:hAnsi="Calibri"/>
                <w:b w:val="0"/>
                <w:i w:val="0"/>
                <w:color w:val="000000"/>
                <w:sz w:val="18"/>
              </w:rPr>
              <w:t>-0,182 (p = 0,171)</w:t>
            </w:r>
          </w:p>
        </w:tc>
      </w:tr>
      <w:tr>
        <w:trPr>
          <w:cantSplit/>
        </w:trPr>
        <w:tc>
          <w:tcPr>
            <w:tcW w:type="dxa" w:w="1600"/>
            <w:vAlign w:val="center"/>
            <w:tcMar>
              <w:top w:w="80" w:type="dxa"/>
              <w:start w:w="120" w:type="dxa"/>
              <w:bottom w:w="80" w:type="dxa"/>
              <w:end w:w="120" w:type="dxa"/>
            </w:tcMar>
          </w:tcPr>
          <w:p>
            <w:pPr>
              <w:keepNext w:val="0"/>
              <w:spacing w:after="0" w:line="240" w:lineRule="auto"/>
            </w:pPr>
            <w:r>
              <w:rPr>
                <w:rFonts w:ascii="Calibri" w:hAnsi="Calibri"/>
                <w:b w:val="0"/>
                <w:i w:val="0"/>
                <w:color w:val="000000"/>
                <w:sz w:val="18"/>
              </w:rPr>
              <w:t>Fall 2021</w:t>
            </w:r>
          </w:p>
        </w:tc>
        <w:tc>
          <w:tcPr>
            <w:tcW w:type="dxa" w:w="800"/>
            <w:vAlign w:val="center"/>
            <w:tcMar>
              <w:top w:w="80" w:type="dxa"/>
              <w:start w:w="120" w:type="dxa"/>
              <w:bottom w:w="80" w:type="dxa"/>
              <w:end w:w="120" w:type="dxa"/>
            </w:tcMar>
          </w:tcPr>
          <w:p>
            <w:pPr>
              <w:keepNext w:val="0"/>
              <w:spacing w:after="0" w:line="240" w:lineRule="auto"/>
            </w:pPr>
            <w:r>
              <w:rPr>
                <w:rFonts w:ascii="Calibri" w:hAnsi="Calibri"/>
                <w:b w:val="0"/>
                <w:i w:val="0"/>
                <w:color w:val="000000"/>
                <w:sz w:val="18"/>
              </w:rPr>
              <w:t>10</w:t>
            </w:r>
          </w:p>
        </w:tc>
        <w:tc>
          <w:tcPr>
            <w:tcW w:type="dxa" w:w="800"/>
            <w:vAlign w:val="center"/>
            <w:tcMar>
              <w:top w:w="80" w:type="dxa"/>
              <w:start w:w="120" w:type="dxa"/>
              <w:bottom w:w="80" w:type="dxa"/>
              <w:end w:w="120" w:type="dxa"/>
            </w:tcMar>
          </w:tcPr>
          <w:p>
            <w:pPr>
              <w:keepNext w:val="0"/>
              <w:spacing w:after="0" w:line="240" w:lineRule="auto"/>
            </w:pPr>
            <w:r>
              <w:rPr>
                <w:rFonts w:ascii="Calibri" w:hAnsi="Calibri"/>
                <w:b w:val="0"/>
                <w:i w:val="0"/>
                <w:color w:val="000000"/>
                <w:sz w:val="18"/>
              </w:rPr>
              <w:t>7</w:t>
            </w:r>
          </w:p>
        </w:tc>
        <w:tc>
          <w:tcPr>
            <w:tcW w:type="dxa" w:w="3080"/>
            <w:vAlign w:val="center"/>
            <w:tcMar>
              <w:top w:w="80" w:type="dxa"/>
              <w:start w:w="120" w:type="dxa"/>
              <w:bottom w:w="80" w:type="dxa"/>
              <w:end w:w="120" w:type="dxa"/>
            </w:tcMar>
          </w:tcPr>
          <w:p>
            <w:pPr>
              <w:keepNext w:val="0"/>
              <w:spacing w:after="0" w:line="240" w:lineRule="auto"/>
            </w:pPr>
            <w:r>
              <w:rPr>
                <w:rFonts w:ascii="Calibri" w:hAnsi="Calibri"/>
                <w:b w:val="0"/>
                <w:i w:val="0"/>
                <w:color w:val="000000"/>
                <w:sz w:val="18"/>
              </w:rPr>
              <w:t>+0,824 (p = 0,003)</w:t>
            </w:r>
          </w:p>
        </w:tc>
        <w:tc>
          <w:tcPr>
            <w:tcW w:type="dxa" w:w="3080"/>
            <w:vAlign w:val="center"/>
            <w:tcMar>
              <w:top w:w="80" w:type="dxa"/>
              <w:start w:w="120" w:type="dxa"/>
              <w:bottom w:w="80" w:type="dxa"/>
              <w:end w:w="120" w:type="dxa"/>
            </w:tcMar>
          </w:tcPr>
          <w:p>
            <w:pPr>
              <w:keepNext w:val="0"/>
              <w:spacing w:after="0" w:line="240" w:lineRule="auto"/>
            </w:pPr>
            <w:r>
              <w:rPr>
                <w:rFonts w:ascii="Calibri" w:hAnsi="Calibri"/>
                <w:b w:val="0"/>
                <w:i w:val="0"/>
                <w:color w:val="000000"/>
                <w:sz w:val="18"/>
              </w:rPr>
              <w:t>+0,311 (p = 0,454)</w:t>
            </w:r>
          </w:p>
        </w:tc>
      </w:tr>
    </w:tbl>
    <w:p>
      <w:pPr>
        <w:spacing w:after="0"/>
      </w:pPr>
    </w:p>
    <w:p>
      <w:pPr>
        <w:spacing w:before="80" w:after="200" w:line="264" w:lineRule="auto"/>
        <w:ind w:left="230" w:right="230"/>
        <w:shd w:fill="F2F2F2"/>
      </w:pPr>
      <w:r>
        <w:rPr>
          <w:rFonts w:ascii="Calibri" w:hAnsi="Calibri"/>
          <w:b/>
          <w:i w:val="0"/>
          <w:color w:val="000000"/>
          <w:sz w:val="21"/>
        </w:rPr>
        <w:t xml:space="preserve">Résultat. </w:t>
      </w:r>
      <w:r>
        <w:rPr>
          <w:rFonts w:ascii="Calibri" w:hAnsi="Calibri"/>
          <w:b w:val="0"/>
          <w:i w:val="0"/>
          <w:color w:val="000000"/>
          <w:sz w:val="21"/>
        </w:rPr>
        <w:t>L'effet intra-jour est non concluant dans les trois corpus. Summer 2019 et Fall 2021 montrent pourtant une association forte entre les journées, qui disparaît après contrôle du jour. Le contrôle du jour écarte donc un artefact de façon reproductible, sur des saisons, des années et des plages thermiques différentes.</w:t>
      </w:r>
    </w:p>
    <w:p>
      <w:pPr>
        <w:spacing w:after="120" w:line="264" w:lineRule="auto"/>
      </w:pPr>
      <w:r>
        <w:rPr>
          <w:rFonts w:ascii="Calibri" w:hAnsi="Calibri"/>
          <w:b/>
          <w:i w:val="0"/>
          <w:color w:val="000000"/>
          <w:sz w:val="21"/>
        </w:rPr>
        <w:t xml:space="preserve">Placement des sondes. </w:t>
      </w:r>
      <w:r>
        <w:rPr>
          <w:rFonts w:ascii="Calibri" w:hAnsi="Calibri"/>
          <w:b w:val="0"/>
          <w:i w:val="0"/>
          <w:color w:val="000000"/>
          <w:sz w:val="21"/>
        </w:rPr>
        <w:t>Pour Summer 2019, la position est documentée : les relevés sont rangés dans des répertoires « Inside » et « Outside », et l'analyse principale utilise les sondes extérieures. Pour Fall 2019 et Fall 2021, aucune documentation de position n'accompagne les fichiers, nommés d'après les groupes expérimentaux. Leur placement à l'intérieur du bâtiment est déduit des relevés eux-mêmes. Les sondes de Fall 2019 mesurent 3,8 à 17,8 degrés Celsius du 11 novembre au 13 décembre 2019; celles de Fall 2021, 6,5 à 16,4 degrés du 9 novembre au 8 décembre 2021 sur les fichiers exprimés en Celsius. Ces valeurs sont incompatibles avec des conditions extérieures québécoises à cette période et aucun relevé ne descend sous zéro. Cette déduction est solide mais reste à confirmer par McGill.</w:t>
      </w:r>
    </w:p>
    <w:p>
      <w:pPr>
        <w:spacing w:after="120" w:line="264" w:lineRule="auto"/>
      </w:pPr>
      <w:r>
        <w:rPr>
          <w:rFonts w:ascii="Calibri" w:hAnsi="Calibri"/>
          <w:b/>
          <w:i w:val="0"/>
          <w:color w:val="000000"/>
          <w:sz w:val="21"/>
        </w:rPr>
        <w:t xml:space="preserve">Contrôles de qualité des données. </w:t>
      </w:r>
      <w:r>
        <w:rPr>
          <w:rFonts w:ascii="Calibri" w:hAnsi="Calibri"/>
          <w:b w:val="0"/>
          <w:i w:val="0"/>
          <w:color w:val="000000"/>
          <w:sz w:val="21"/>
        </w:rPr>
        <w:t>Fall 2019 ne présente aucun doublon sur 34 847 relevés, avec une couverture continue du 11 novembre au 13 décembre. Fall 2021 contient en revanche 12 % de doublons exacts, dus à des répertoires qui se recouvrent, ainsi que des fichiers exprimés en degrés Fahrenheit pour des périodes situées hors de la fenêtre d'analyse : début novembre et mi-décembre 2021, puis février 2022. Ces deux points sont signalés à McGill comme éléments de qualité des données.</w:t>
      </w:r>
    </w:p>
    <w:p>
      <w:pPr>
        <w:spacing w:after="120" w:line="264" w:lineRule="auto"/>
      </w:pPr>
      <w:r>
        <w:rPr>
          <w:rFonts w:ascii="Calibri" w:hAnsi="Calibri"/>
          <w:b/>
          <w:i w:val="0"/>
          <w:color w:val="000000"/>
          <w:sz w:val="21"/>
        </w:rPr>
        <w:t xml:space="preserve">Sensibilité à la préparation des données. </w:t>
      </w:r>
      <w:r>
        <w:rPr>
          <w:rFonts w:ascii="Calibri" w:hAnsi="Calibri"/>
          <w:b w:val="0"/>
          <w:i w:val="0"/>
          <w:color w:val="000000"/>
          <w:sz w:val="21"/>
        </w:rPr>
        <w:t>Pour vérifier que ces défauts n'influencent pas la conclusion, l'analyse de Fall 2021 a été refaite selon trois préparations : tous les fichiers, les mêmes après suppression des doublons, puis le seul répertoire couvrant la fenêtre. Les trois donnent le même résultat, l'effet intra-jour restant non concluant (p compris entre 0,448 et 0,454) et la plage de température restant de 7,3 à 14,2 degrés Celsius. Les doublons étant exacts, ils ne modifient pas une moyenne, et les fichiers en Fahrenheit ne recouvrent pas la fenêtre analysée.</w:t>
      </w:r>
    </w:p>
    <w:p>
      <w:pPr>
        <w:spacing w:after="120" w:line="264" w:lineRule="auto"/>
      </w:pPr>
      <w:r>
        <w:rPr>
          <w:rFonts w:ascii="Calibri" w:hAnsi="Calibri"/>
          <w:b/>
          <w:i w:val="0"/>
          <w:color w:val="000000"/>
          <w:sz w:val="21"/>
        </w:rPr>
        <w:t xml:space="preserve">Limites. </w:t>
      </w:r>
      <w:r>
        <w:rPr>
          <w:rFonts w:ascii="Calibri" w:hAnsi="Calibri"/>
          <w:b w:val="0"/>
          <w:i w:val="0"/>
          <w:color w:val="000000"/>
          <w:sz w:val="21"/>
        </w:rPr>
        <w:t>Fall 2021 ne couvre que sept jours, ce qui réduit fortement la puissance du contrôle du jour. Cette analyse porte sur l'environnement du bâtiment et non sur les conditions météorologiques : elle complète l'analyse THI extérieure sans la remplacer.</w:t>
      </w:r>
    </w:p>
    <w:p>
      <w:pPr>
        <w:spacing w:after="120" w:line="264" w:lineRule="auto"/>
      </w:pPr>
      <w:r>
        <w:rPr>
          <w:rFonts w:ascii="Calibri" w:hAnsi="Calibri"/>
          <w:b/>
          <w:i w:val="0"/>
          <w:color w:val="000000"/>
          <w:sz w:val="21"/>
        </w:rPr>
        <w:t xml:space="preserve">Reproduction. </w:t>
      </w:r>
      <w:r>
        <w:rPr>
          <w:rFonts w:ascii="Calibri" w:hAnsi="Calibri"/>
          <w:b w:val="0"/>
          <w:i w:val="0"/>
          <w:color w:val="000000"/>
          <w:sz w:val="21"/>
        </w:rPr>
        <w:t>Script run_objective2_indoor_multiseason.py; sorties dans TABLEAUX_CSV/objective2_indoor_multiseason_descriptifs.csv et objective2_indoor_multiseason_modeles.csv.</w:t>
      </w:r>
    </w:p>
    <w:p>
      <w:pPr>
        <w:pStyle w:val="Heading1"/>
      </w:pPr>
      <w:r>
        <w:t>6. Faisabilité d'un modèle intégré</w:t>
      </w:r>
    </w:p>
    <w:p>
      <w:pPr>
        <w:spacing w:after="120" w:line="264" w:lineRule="auto"/>
      </w:pPr>
      <w:r>
        <w:rPr>
          <w:rFonts w:ascii="Calibri" w:hAnsi="Calibri"/>
          <w:b/>
          <w:i w:val="0"/>
          <w:color w:val="000000"/>
          <w:sz w:val="21"/>
        </w:rPr>
        <w:t xml:space="preserve">Faisable maintenant. </w:t>
      </w:r>
      <w:r>
        <w:rPr>
          <w:rFonts w:ascii="Calibri" w:hAnsi="Calibri"/>
          <w:b w:val="0"/>
          <w:i w:val="0"/>
          <w:color w:val="000000"/>
          <w:sz w:val="21"/>
        </w:rPr>
        <w:t>Modéliser l'activité IceTag en fonction du THI, avec heure et jour, tout en présentant séparément les associations entre jours et les effets intra-jour.</w:t>
      </w:r>
    </w:p>
    <w:p>
      <w:pPr>
        <w:spacing w:after="120" w:line="264" w:lineRule="auto"/>
      </w:pPr>
      <w:r>
        <w:rPr>
          <w:rFonts w:ascii="Calibri" w:hAnsi="Calibri"/>
          <w:b/>
          <w:i w:val="0"/>
          <w:color w:val="000000"/>
          <w:sz w:val="21"/>
        </w:rPr>
        <w:t xml:space="preserve">Non robuste en l'état. </w:t>
      </w:r>
      <w:r>
        <w:rPr>
          <w:rFonts w:ascii="Calibri" w:hAnsi="Calibri"/>
          <w:b w:val="0"/>
          <w:i w:val="0"/>
          <w:color w:val="000000"/>
          <w:sz w:val="21"/>
        </w:rPr>
        <w:t>Introduire les comportements observés comme covariables principales : huit jours de scan sont insuffisants pour une estimation stable.</w:t>
      </w:r>
    </w:p>
    <w:p>
      <w:pPr>
        <w:spacing w:after="120" w:line="264" w:lineRule="auto"/>
      </w:pPr>
      <w:r>
        <w:rPr>
          <w:rFonts w:ascii="Calibri" w:hAnsi="Calibri"/>
          <w:b/>
          <w:i w:val="0"/>
          <w:color w:val="000000"/>
          <w:sz w:val="21"/>
        </w:rPr>
        <w:t xml:space="preserve">Renforcement futur. </w:t>
      </w:r>
      <w:r>
        <w:rPr>
          <w:rFonts w:ascii="Calibri" w:hAnsi="Calibri"/>
          <w:b w:val="0"/>
          <w:i w:val="0"/>
          <w:color w:val="000000"/>
          <w:sz w:val="21"/>
        </w:rPr>
        <w:t>Ajouter davantage de jours de scan, tester des effets décalés et étendre l'analyse aux basses températures. Le corpus exploitable pour cette extension est Fall 2019, qui dispose de sondes HOBO du 11 novembre au 13 décembre; Winter 2019 ne comporte aucune mesure environnementale. Cette extension suppose un indicateur adapté au froid, l'indice THI mesurant un stress thermique estival, et la validation par McGill de la correspondance entre les éthogrammes des deux saisons.</w:t>
      </w:r>
    </w:p>
    <w:p>
      <w:pPr>
        <w:pStyle w:val="Heading1"/>
      </w:pPr>
      <w:r>
        <w:t>7. Conclusion et limites</w:t>
      </w:r>
    </w:p>
    <w:p>
      <w:pPr>
        <w:spacing w:after="120" w:line="264" w:lineRule="auto"/>
      </w:pPr>
      <w:r>
        <w:rPr>
          <w:rFonts w:ascii="Calibri" w:hAnsi="Calibri"/>
          <w:b/>
          <w:i w:val="0"/>
          <w:color w:val="000000"/>
          <w:sz w:val="21"/>
        </w:rPr>
        <w:t xml:space="preserve">Conclusion. </w:t>
      </w:r>
      <w:r>
        <w:rPr>
          <w:rFonts w:ascii="Calibri" w:hAnsi="Calibri"/>
          <w:b w:val="0"/>
          <w:i w:val="0"/>
          <w:color w:val="000000"/>
          <w:sz w:val="21"/>
        </w:rPr>
        <w:t>La synchronisation demandée par le SOW est réalisée et documentée. L'association globale THI-activité est positive et persiste après contrôle d'une tendance calendaire simple. Elle est principalement portée par les différences entre jours et n'est pas confirmée dans l'analyse intra-jour. Aucune relation causale ni baisse d'activité liée au stress thermique sévère ne peut être conclue.</w:t>
      </w:r>
    </w:p>
    <w:p>
      <w:pPr>
        <w:spacing w:after="120" w:line="264" w:lineRule="auto"/>
      </w:pPr>
      <w:r>
        <w:rPr>
          <w:rFonts w:ascii="Calibri" w:hAnsi="Calibri"/>
          <w:b/>
          <w:i w:val="0"/>
          <w:color w:val="000000"/>
          <w:sz w:val="21"/>
        </w:rPr>
        <w:t xml:space="preserve">Limite thermique. </w:t>
      </w:r>
      <w:r>
        <w:rPr>
          <w:rFonts w:ascii="Calibri" w:hAnsi="Calibri"/>
          <w:b w:val="0"/>
          <w:i w:val="0"/>
          <w:color w:val="000000"/>
          <w:sz w:val="21"/>
        </w:rPr>
        <w:t>Le stress sévère est rare dans le corpus; les conclusions restent limitées à la plage de THI observée au Québec pendant Summer 2019.</w:t>
      </w:r>
    </w:p>
    <w:p>
      <w:pPr>
        <w:spacing w:after="120" w:line="264" w:lineRule="auto"/>
      </w:pPr>
      <w:r>
        <w:rPr>
          <w:rFonts w:ascii="Calibri" w:hAnsi="Calibri"/>
          <w:b/>
          <w:i w:val="0"/>
          <w:color w:val="000000"/>
          <w:sz w:val="21"/>
        </w:rPr>
        <w:t xml:space="preserve">Confondants. </w:t>
      </w:r>
      <w:r>
        <w:rPr>
          <w:rFonts w:ascii="Calibri" w:hAnsi="Calibri"/>
          <w:b w:val="0"/>
          <w:i w:val="0"/>
          <w:color w:val="000000"/>
          <w:sz w:val="21"/>
        </w:rPr>
        <w:t>La progression saisonnière, l'accès à l'exercice, le jour d'observation et d'autres variables individuelles peuvent expliquer une partie du signal.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95959"/>
        <w:sz w:val="18"/>
      </w:rPr>
      <w:t xml:space="preserve">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val="0"/>
        <w:i w:val="0"/>
        <w:color w:val="595959"/>
        <w:sz w:val="18"/>
      </w:rPr>
      <w:t>Projet McGill / WELL-E | Objectif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Objectif 2 - Conditions environnementales et comportement locomoteur</dc:title>
  <dc:subject>Projet McGill / WELL-E</dc:subject>
  <dc:creator>Aliou Barry</dc:creator>
  <cp:keywords/>
  <dc:description/>
  <cp:lastModifiedBy>Aliou Barry</cp:lastModifiedBy>
  <cp:revision>1</cp:revision>
  <dcterms:created xsi:type="dcterms:W3CDTF">2013-12-23T23:15:00Z</dcterms:created>
  <dcterms:modified xsi:type="dcterms:W3CDTF">2013-12-23T23:15:00Z</dcterms:modified>
  <cp:category/>
</cp:coreProperties>
</file>