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Calibri" w:hAnsi="Calibri"/>
          <w:b/>
          <w:i w:val="0"/>
          <w:color w:val="1F4D78"/>
          <w:sz w:val="46"/>
        </w:rPr>
        <w:t>OBJECTIF 3</w:t>
      </w:r>
    </w:p>
    <w:p>
      <w:pPr>
        <w:spacing w:after="240"/>
      </w:pPr>
      <w:r>
        <w:rPr>
          <w:rFonts w:ascii="Calibri" w:hAnsi="Calibri"/>
          <w:b/>
          <w:i w:val="0"/>
          <w:color w:val="2E74B5"/>
          <w:sz w:val="28"/>
        </w:rPr>
        <w:t>Guide d'utilisation du notebook de démonstration IoT</w:t>
      </w:r>
    </w:p>
    <w:p>
      <w:pPr>
        <w:spacing w:after="120"/>
      </w:pPr>
      <w:r>
        <w:rPr>
          <w:rFonts w:ascii="Calibri" w:hAnsi="Calibri"/>
          <w:b/>
          <w:i w:val="0"/>
          <w:color w:val="1F4D78"/>
          <w:sz w:val="22"/>
        </w:rPr>
        <w:t xml:space="preserve">Livrables SOW : </w:t>
      </w:r>
      <w:r>
        <w:rPr>
          <w:rFonts w:ascii="Calibri" w:hAnsi="Calibri"/>
          <w:b w:val="0"/>
          <w:i w:val="0"/>
          <w:color w:val="202124"/>
          <w:sz w:val="22"/>
        </w:rPr>
        <w:t>notebook final et documentation</w:t>
      </w:r>
    </w:p>
    <w:p>
      <w:pPr>
        <w:spacing w:after="120"/>
      </w:pPr>
      <w:r>
        <w:rPr>
          <w:rFonts w:ascii="Calibri" w:hAnsi="Calibri"/>
          <w:b/>
          <w:i w:val="0"/>
          <w:color w:val="1F4D78"/>
          <w:sz w:val="22"/>
        </w:rPr>
        <w:t xml:space="preserve">Supports inclus : </w:t>
      </w:r>
      <w:r>
        <w:rPr>
          <w:rFonts w:ascii="Calibri" w:hAnsi="Calibri"/>
          <w:b w:val="0"/>
          <w:i w:val="0"/>
          <w:color w:val="202124"/>
          <w:sz w:val="22"/>
        </w:rPr>
        <w:t>données compactes, sorties et présentation détaillée</w:t>
      </w:r>
    </w:p>
    <w:p>
      <w:pPr>
        <w:spacing w:after="120"/>
      </w:pPr>
      <w:r>
        <w:rPr>
          <w:rFonts w:ascii="Calibri" w:hAnsi="Calibri"/>
          <w:b/>
          <w:i w:val="0"/>
          <w:color w:val="1F4D78"/>
          <w:sz w:val="22"/>
        </w:rPr>
        <w:t xml:space="preserve">Statut : </w:t>
      </w:r>
      <w:r>
        <w:rPr>
          <w:rFonts w:ascii="Calibri" w:hAnsi="Calibri"/>
          <w:b w:val="0"/>
          <w:i w:val="0"/>
          <w:color w:val="202124"/>
          <w:sz w:val="22"/>
        </w:rPr>
        <w:t>fonctionnel, exécuté intégralement et vérifié</w:t>
      </w:r>
    </w:p>
    <w:p>
      <w:pPr>
        <w:pStyle w:val="Heading1"/>
      </w:pPr>
      <w:r>
        <w:t>1. Correspondance avec le SOW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cantSplit/>
          <w:tblHeader/>
        </w:trPr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Exigence</w:t>
            </w:r>
          </w:p>
        </w:tc>
        <w:tc>
          <w:tcPr>
            <w:tcW w:type="dxa" w:w="6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Couverture dans le notebook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Chargement et prétraitement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Lecture, schéma canonique, contrôles de colonnes et qualité temporelle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Exécution du pipeline IceTag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Exécution réelle sur 8 922 intervalles de la vache 2062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Environnement–comportement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THI–activité et THI–comportements, avec contrôles statistiques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Guide d'interprétation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Lecture des alertes, limites capteur, confusion temporelle et causalité</w:t>
            </w:r>
          </w:p>
        </w:tc>
      </w:tr>
    </w:tbl>
    <w:p>
      <w:pPr>
        <w:spacing w:after="0"/>
      </w:pPr>
    </w:p>
    <w:p>
      <w:pPr>
        <w:pStyle w:val="Heading1"/>
      </w:pPr>
      <w:r>
        <w:t>2. Procédure d'exécution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Ouvrir code/12_objectif3_notebook_demonstration.ipynb dans Jupyter Notebook ou JupyterLab.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Utiliser un environnement Python avec pandas, numpy, matplotlib, scipy et scikit-learn.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Lancer Restart Kernel and Run All afin d'exécuter les cellules dans l'ordre.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Confirmer le message final indiquant que toutes les sorties attendues ont été générées.</w:t>
      </w:r>
    </w:p>
    <w:p>
      <w:pPr>
        <w:spacing w:after="120"/>
      </w:pPr>
      <w:r>
        <w:rPr>
          <w:rFonts w:ascii="Calibri" w:hAnsi="Calibri"/>
          <w:b/>
          <w:i w:val="0"/>
          <w:color w:val="1F4D78"/>
          <w:sz w:val="22"/>
        </w:rPr>
        <w:t xml:space="preserve">Autonomie : </w:t>
      </w:r>
      <w:r>
        <w:rPr>
          <w:rFonts w:ascii="Calibri" w:hAnsi="Calibri"/>
          <w:b w:val="0"/>
          <w:i w:val="0"/>
          <w:color w:val="202124"/>
          <w:sz w:val="22"/>
        </w:rPr>
        <w:t>le notebook reconnaît automatiquement le dépôt de travail ou le paquet livré. Le paquet inclut les données compactes, le cœur du pipeline et les paramètres gelés.</w:t>
      </w:r>
    </w:p>
    <w:p>
      <w:pPr>
        <w:pStyle w:val="Heading1"/>
      </w:pPr>
      <w:r>
        <w:t>3. Résultats de référence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Vérification</w:t>
            </w:r>
          </w:p>
        </w:tc>
        <w:tc>
          <w:tcPr>
            <w:tcW w:type="dxa" w:w="6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Résultat attendu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Démonstration pipeline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8 922 intervalles; 582 points atypiques IF; 17 alertes brutes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Quatre saisons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385 alertes brutes; taux normalisés par 100 vache-jours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Requalification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37 A prioritaires; 195 B à vérifier; 153 C collectives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THI–activité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+0,221 global; +0,129 avec tendance; +0,061 intra-jour, p = 0,364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Comportement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alimentation rho = 0,738, p = 0,037 sur huit jours</w:t>
            </w:r>
          </w:p>
        </w:tc>
      </w:tr>
    </w:tbl>
    <w:p>
      <w:pPr>
        <w:spacing w:after="0"/>
      </w:pPr>
    </w:p>
    <w:p>
      <w:pPr>
        <w:pStyle w:val="Heading1"/>
      </w:pPr>
      <w:r>
        <w:t>4. Interprétation correcte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Une alerte est un signal comportemental à vérifier et non un diagnostic clinique.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L'IceTag mesure la quantité d'activité; il ne mesure pas l'asymétrie de démarche nécessaire à la boiterie légère.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L'association THI–activité est positive globalement, mais l'effet intra-jour n'est pas concluant.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Le signal alimentation–THI est suggestif, car huit jours indépendants seulement sont disponibles.</w:t>
      </w:r>
    </w:p>
    <w:p>
      <w:pPr>
        <w:pStyle w:val="Heading1"/>
      </w:pPr>
      <w:r>
        <w:t>5. Contenu du paquet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Dossier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Contenu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code/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notebook, modules du pipeline et paramètres gelés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DONNEES_DEMO/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échantillon IceTag et tables compactes des Objectifs 1 et 2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RESULTATS/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figures et synthèse générées par le notebook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DOCUMENTATION/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documentation textuelle de l'exécution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RAPPORTS/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guide Word et présentation détaillée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8"/>
      </w:rPr>
      <w:t xml:space="preserve">Page </w:t>
    </w:r>
    <w: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 w:val="0"/>
        <w:i w:val="0"/>
        <w:color w:val="5F6368"/>
        <w:sz w:val="18"/>
      </w:rPr>
      <w:t>Projet McGill / WELL-E | Objectif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