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rFonts w:ascii="Calibri" w:hAnsi="Calibri"/>
          <w:b/>
          <w:i w:val="0"/>
          <w:color w:val="000000"/>
          <w:sz w:val="46"/>
        </w:rPr>
        <w:t>OBJECTIF 2</w:t>
      </w:r>
    </w:p>
    <w:p>
      <w:pPr>
        <w:spacing w:after="240"/>
      </w:pPr>
      <w:r>
        <w:rPr>
          <w:rFonts w:ascii="Calibri" w:hAnsi="Calibri"/>
          <w:b/>
          <w:i w:val="0"/>
          <w:color w:val="000000"/>
          <w:sz w:val="28"/>
        </w:rPr>
        <w:t>Conditions environnementales et comportement locomoteur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Projet : </w:t>
      </w:r>
      <w:r>
        <w:rPr>
          <w:rFonts w:ascii="Calibri" w:hAnsi="Calibri"/>
          <w:b w:val="0"/>
          <w:i w:val="0"/>
          <w:color w:val="000000"/>
          <w:sz w:val="21"/>
        </w:rPr>
        <w:t>McGill / WELL-E, Summer 2019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Statut : </w:t>
      </w:r>
      <w:r>
        <w:rPr>
          <w:rFonts w:ascii="Calibri" w:hAnsi="Calibri"/>
          <w:b w:val="0"/>
          <w:i w:val="0"/>
          <w:color w:val="000000"/>
          <w:sz w:val="21"/>
        </w:rPr>
        <w:t>Rapport exploratoire corrigé et paquet de livraison</w:t>
      </w:r>
    </w:p>
    <w:p>
      <w:pPr>
        <w:spacing w:before="80" w:after="200" w:line="264" w:lineRule="auto"/>
        <w:ind w:left="230" w:right="230"/>
        <w:shd w:fill="F2F2F2"/>
      </w:pPr>
      <w:r>
        <w:rPr>
          <w:rFonts w:ascii="Calibri" w:hAnsi="Calibri"/>
          <w:b/>
          <w:i w:val="0"/>
          <w:color w:val="000000"/>
          <w:sz w:val="21"/>
        </w:rPr>
        <w:t xml:space="preserve">Conclusion principale. </w:t>
      </w:r>
      <w:r>
        <w:rPr>
          <w:rFonts w:ascii="Calibri" w:hAnsi="Calibri"/>
          <w:b w:val="0"/>
          <w:i w:val="0"/>
          <w:color w:val="000000"/>
          <w:sz w:val="21"/>
        </w:rPr>
        <w:t>L'association globale THI-activité est positive et demeure positive après contrôle d'une tendance calendaire linéaire. L'effet strictement intra-jour est plus faible et non concluant. Les résultats décrivent donc une association exploratoire, sans preuve d'un effet thermique causal indépendant.</w:t>
      </w:r>
    </w:p>
    <w:p>
      <w:pPr>
        <w:pStyle w:val="Heading1"/>
      </w:pPr>
      <w:r>
        <w:t>1. Correspondance avec le SOW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B7B7B7"/>
          <w:insideV w:val="single" w:sz="4" w:color="B7B7B7"/>
        </w:tblBorders>
      </w:tblPr>
      <w:tblGrid>
        <w:gridCol w:w="4100"/>
        <w:gridCol w:w="5260"/>
      </w:tblGrid>
      <w:tr>
        <w:trPr>
          <w:cantSplit/>
          <w:tblHeader/>
        </w:trPr>
        <w:tc>
          <w:tcPr>
            <w:tcW w:type="dxa" w:w="410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Livrable SOW</w:t>
            </w:r>
          </w:p>
        </w:tc>
        <w:tc>
          <w:tcPr>
            <w:tcW w:type="dxa" w:w="526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Fichier livré</w:t>
            </w:r>
          </w:p>
        </w:tc>
      </w:tr>
      <w:tr>
        <w:trPr>
          <w:cantSplit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2.1 Jeu intégré : accéléromètres + environnement + comportements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DONNEES_SYNCHRONISEES/summer2019_multimodal_cow_day.csv</w:t>
            </w:r>
          </w:p>
        </w:tc>
      </w:tr>
      <w:tr>
        <w:trPr>
          <w:cantSplit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2.1 Documentation de la synchronisation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NOTES_SOW/documentation_synchronisation.md</w:t>
            </w:r>
          </w:p>
        </w:tc>
      </w:tr>
      <w:tr>
        <w:trPr>
          <w:cantSplit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2.2 Rapport d'analyse exploratoire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RAPPORTS/Objectif2_rapport_livraison.docx</w:t>
            </w:r>
          </w:p>
        </w:tc>
      </w:tr>
      <w:tr>
        <w:trPr>
          <w:cantSplit/>
        </w:trPr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2.2 Faisabilité d'une modélisation intégrée</w:t>
            </w:r>
          </w:p>
        </w:tc>
        <w:tc>
          <w:tcPr>
            <w:tcW w:type="dxa" w:w="5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NOTES_SOW/notes_faisabilite_modelisation.md</w:t>
            </w:r>
          </w:p>
        </w:tc>
      </w:tr>
    </w:tbl>
    <w:p>
      <w:pPr>
        <w:spacing w:after="0"/>
      </w:pPr>
    </w:p>
    <w:p>
      <w:pPr>
        <w:pStyle w:val="Heading1"/>
      </w:pPr>
      <w:r>
        <w:t>2. Synchronisation des données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Activité et environnement. </w:t>
      </w:r>
      <w:r>
        <w:rPr>
          <w:rFonts w:ascii="Calibri" w:hAnsi="Calibri"/>
          <w:b w:val="0"/>
          <w:i w:val="0"/>
          <w:color w:val="000000"/>
          <w:sz w:val="21"/>
        </w:rPr>
        <w:t>87 501 intervalles vache-15 min, 17 vaches et 62 jours. Les mesures IceTag sont appariées aux sondes HOBO extérieures, agrégées au même pas de 15 minutes.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Périmètre de l'analyse. </w:t>
      </w:r>
      <w:r>
        <w:rPr>
          <w:rFonts w:ascii="Calibri" w:hAnsi="Calibri"/>
          <w:b w:val="0"/>
          <w:i w:val="0"/>
          <w:color w:val="000000"/>
          <w:sz w:val="21"/>
        </w:rPr>
        <w:t>Le corpus Summer 2019 traité à l'Objectif 1 compte 139 111 intervalles et 18 vaches (5 juin au 6 septembre 2019). Les sondes environnementales HOBO ne couvrent la période qu'à partir du 1er juillet 2019 : l'analyse environnement-activité porte donc sur le sous-ensemble apparié de 87 501 intervalles (62,9 % du corpus), 17 vaches et 62 jours (1er juillet au 6 septembre). La vache 2067 est absente de ce sous-ensemble, faute de mesure environnementale concomitante. Cet écart avec l'Objectif 1 est attendu et ne traduit pas une perte de données.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Comportements. </w:t>
      </w:r>
      <w:r>
        <w:rPr>
          <w:rFonts w:ascii="Calibri" w:hAnsi="Calibri"/>
          <w:b w:val="0"/>
          <w:i w:val="0"/>
          <w:color w:val="000000"/>
          <w:sz w:val="21"/>
        </w:rPr>
        <w:t>51 scans sur 8 jours, pour 8 vaches, reliés aux conditions du jour.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Table trimodale. </w:t>
      </w:r>
      <w:r>
        <w:rPr>
          <w:rFonts w:ascii="Calibri" w:hAnsi="Calibri"/>
          <w:b w:val="0"/>
          <w:i w:val="0"/>
          <w:color w:val="000000"/>
          <w:sz w:val="21"/>
        </w:rPr>
        <w:t>49 scans sur 51 disposent simultanément du comportement, de l'environnement et de l'activité quotidienne. Deux scans de la vache 5169 restent documentés avec activité IceTag absente.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B7B7B7"/>
          <w:insideV w:val="single" w:sz="4" w:color="B7B7B7"/>
        </w:tblBorders>
      </w:tblPr>
      <w:tblGrid>
        <w:gridCol w:w="3900"/>
        <w:gridCol w:w="1900"/>
        <w:gridCol w:w="3560"/>
      </w:tblGrid>
      <w:tr>
        <w:trPr>
          <w:cantSplit/>
          <w:tblHeader/>
        </w:trPr>
        <w:tc>
          <w:tcPr>
            <w:tcW w:type="dxa" w:w="390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Fichier</w:t>
            </w:r>
          </w:p>
        </w:tc>
        <w:tc>
          <w:tcPr>
            <w:tcW w:type="dxa" w:w="190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Niveau</w:t>
            </w:r>
          </w:p>
        </w:tc>
        <w:tc>
          <w:tcPr>
            <w:tcW w:type="dxa" w:w="356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Rôle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summer2019_icetag_environnement_15min.csv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vache-15 min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Activité IceTag + HOBO extérieur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summer2019_comportement_environnement.csv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vache-jour-scan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Comportement + conditions journalières</w:t>
            </w:r>
          </w:p>
        </w:tc>
      </w:tr>
      <w:tr>
        <w:trPr>
          <w:cantSplit/>
        </w:trPr>
        <w:tc>
          <w:tcPr>
            <w:tcW w:type="dxa" w:w="3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summer2019_multimodal_cow_day.csv</w:t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vache-jour-scan</w:t>
            </w:r>
          </w:p>
        </w:tc>
        <w:tc>
          <w:tcPr>
            <w:tcW w:type="dxa" w:w="3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Livrable trimodal avec statut d'intégration</w:t>
            </w:r>
          </w:p>
        </w:tc>
      </w:tr>
    </w:tbl>
    <w:p>
      <w:pPr>
        <w:spacing w:after="0"/>
      </w:pPr>
    </w:p>
    <w:p>
      <w:pPr>
        <w:pStyle w:val="Heading1"/>
      </w:pPr>
      <w:r>
        <w:t>3. Activité locomotrice et THI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Plage observée. </w:t>
      </w:r>
      <w:r>
        <w:rPr>
          <w:rFonts w:ascii="Calibri" w:hAnsi="Calibri"/>
          <w:b w:val="0"/>
          <w:i w:val="0"/>
          <w:color w:val="000000"/>
          <w:sz w:val="21"/>
        </w:rPr>
        <w:t>THI de 50,6 à 83,9, moyenne 68,4. Seulement 1,1 % des intervalles atteignent THI ≥ 80.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B7B7B7"/>
          <w:insideV w:val="single" w:sz="4" w:color="B7B7B7"/>
        </w:tblBorders>
      </w:tblPr>
      <w:tblGrid>
        <w:gridCol w:w="4300"/>
        <w:gridCol w:w="1450"/>
        <w:gridCol w:w="2250"/>
        <w:gridCol w:w="1360"/>
      </w:tblGrid>
      <w:tr>
        <w:trPr>
          <w:cantSplit/>
          <w:tblHeader/>
        </w:trPr>
        <w:tc>
          <w:tcPr>
            <w:tcW w:type="dxa" w:w="430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Analyse</w:t>
            </w:r>
          </w:p>
        </w:tc>
        <w:tc>
          <w:tcPr>
            <w:tcW w:type="dxa" w:w="145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Effet THI</w:t>
            </w:r>
          </w:p>
        </w:tc>
        <w:tc>
          <w:tcPr>
            <w:tcW w:type="dxa" w:w="225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IC 95 %</w:t>
            </w:r>
          </w:p>
        </w:tc>
        <w:tc>
          <w:tcPr>
            <w:tcW w:type="dxa" w:w="1360"/>
            <w:shd w:fill="000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Modèle mixte vache : Steps ~ THI + heure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0,198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[0,180 ; 0,216]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7,69e-102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Steps ~ THI + heure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0,221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[0,141 ; 0,301]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6,15e-8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Steps ~ THI + heure + jour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0,061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[-0,070 ; 0,192]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0,364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Motion Index ~ THI + heure + jour</w:t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0,091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[-0,473 ; 0,655]</w:t>
            </w:r>
          </w:p>
        </w:tc>
        <w:tc>
          <w:tcPr>
            <w:tcW w:type="dxa" w:w="1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 w:val="0"/>
              <w:spacing w:after="0" w:line="240" w:lineRule="auto"/>
            </w:pPr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0,752</w:t>
            </w:r>
          </w:p>
        </w:tc>
      </w:tr>
    </w:tbl>
    <w:p>
      <w:pPr>
        <w:spacing w:after="0"/>
      </w:pPr>
    </w:p>
    <w:p>
      <w:pPr>
        <w:spacing w:before="80" w:after="200" w:line="264" w:lineRule="auto"/>
        <w:ind w:left="230" w:right="230"/>
        <w:shd w:fill="F2F2F2"/>
      </w:pPr>
      <w:r>
        <w:rPr>
          <w:rFonts w:ascii="Calibri" w:hAnsi="Calibri"/>
          <w:b/>
          <w:i w:val="0"/>
          <w:color w:val="000000"/>
          <w:sz w:val="21"/>
        </w:rPr>
        <w:t xml:space="preserve">Interprétation. </w:t>
      </w:r>
      <w:r>
        <w:rPr>
          <w:rFonts w:ascii="Calibri" w:hAnsi="Calibri"/>
          <w:b w:val="0"/>
          <w:i w:val="0"/>
          <w:color w:val="000000"/>
          <w:sz w:val="21"/>
        </w:rPr>
        <w:t>Sans contrôle du jour, l'analyse troupeau-timestamp estime un effet de +0,221 pas par unité THI (p = 6,15e-8). Avec contrôle du jour, l'effet est +0,061 (IC 95 % [-0,070 ; 0,192], p = 0,364). Le signal observé dépend donc fortement des différences entre jours.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Contrôles complémentaires. </w:t>
      </w:r>
      <w:r>
        <w:rPr>
          <w:rFonts w:ascii="Calibri" w:hAnsi="Calibri"/>
          <w:b w:val="0"/>
          <w:i w:val="0"/>
          <w:color w:val="000000"/>
          <w:sz w:val="21"/>
        </w:rPr>
        <w:t>Avec une tendance calendaire linéaire, l'association globale reste positive (+0,129, p = 0,020). Au niveau des 62 unités journalières, elle est estimée à +0,273 (p = 9,20e-8) et reste positive avec la tendance calendaire (+0,162, p = 0,030). Ces analyses renforcent l'existence d'une association entre jours, sans établir une causalité thermique.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Non-linéarité. </w:t>
      </w:r>
      <w:r>
        <w:rPr>
          <w:rFonts w:ascii="Calibri" w:hAnsi="Calibri"/>
          <w:b w:val="0"/>
          <w:i w:val="0"/>
          <w:color w:val="000000"/>
          <w:sz w:val="21"/>
        </w:rPr>
        <w:t>Après contrôle de l'heure et du jour, le terme quadratique n'est pas concluant (p = 0,224). Les données ne permettent pas d'établir un seuil thermique ou une courbe convexe indépendante du jour.</w:t>
      </w:r>
    </w:p>
    <w:p>
      <w:pPr>
        <w:pStyle w:val="Heading1"/>
      </w:pPr>
      <w:r>
        <w:t>4. Comportements observés et THI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Résultat exploratoire. </w:t>
      </w:r>
      <w:r>
        <w:rPr>
          <w:rFonts w:ascii="Calibri" w:hAnsi="Calibri"/>
          <w:b w:val="0"/>
          <w:i w:val="0"/>
          <w:color w:val="000000"/>
          <w:sz w:val="21"/>
        </w:rPr>
        <w:t>Au niveau du jour, l'alimentation présente rho = 0,738, p = 0,037, sur seulement 8 jours. Les autres catégories analysées ne sont pas significatives.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Portée. </w:t>
      </w:r>
      <w:r>
        <w:rPr>
          <w:rFonts w:ascii="Calibri" w:hAnsi="Calibri"/>
          <w:b w:val="0"/>
          <w:i w:val="0"/>
          <w:color w:val="000000"/>
          <w:sz w:val="21"/>
        </w:rPr>
        <w:t>Ce résultat est suggestif, pas confirmatoire. Les 51 scans ne sont pas 51 expositions thermiques indépendantes, puisque plusieurs vaches partagent le même THI journalier.</w:t>
      </w:r>
    </w:p>
    <w:p>
      <w:pPr>
        <w:pStyle w:val="Heading1"/>
      </w:pPr>
      <w:r>
        <w:t>5. Faisabilité d'un modèle intégré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Faisable maintenant. </w:t>
      </w:r>
      <w:r>
        <w:rPr>
          <w:rFonts w:ascii="Calibri" w:hAnsi="Calibri"/>
          <w:b w:val="0"/>
          <w:i w:val="0"/>
          <w:color w:val="000000"/>
          <w:sz w:val="21"/>
        </w:rPr>
        <w:t>Modéliser l'activité IceTag en fonction du THI, avec heure et jour, tout en présentant séparément les associations entre jours et les effets intra-jour.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Non robuste en l'état. </w:t>
      </w:r>
      <w:r>
        <w:rPr>
          <w:rFonts w:ascii="Calibri" w:hAnsi="Calibri"/>
          <w:b w:val="0"/>
          <w:i w:val="0"/>
          <w:color w:val="000000"/>
          <w:sz w:val="21"/>
        </w:rPr>
        <w:t>Introduire les comportements observés comme covariables principales : huit jours de scan sont insuffisants pour une estimation stable.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Renforcement futur. </w:t>
      </w:r>
      <w:r>
        <w:rPr>
          <w:rFonts w:ascii="Calibri" w:hAnsi="Calibri"/>
          <w:b w:val="0"/>
          <w:i w:val="0"/>
          <w:color w:val="000000"/>
          <w:sz w:val="21"/>
        </w:rPr>
        <w:t>Ajouter davantage de jours de scan, tester des effets décalés et étendre l'analyse au froid hivernal après validation de la correspondance entre les éthogrammes Summer et Winter par McGill.</w:t>
      </w:r>
    </w:p>
    <w:p>
      <w:pPr>
        <w:pStyle w:val="Heading1"/>
      </w:pPr>
      <w:r>
        <w:t>6. Conclusion et limites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Conclusion. </w:t>
      </w:r>
      <w:r>
        <w:rPr>
          <w:rFonts w:ascii="Calibri" w:hAnsi="Calibri"/>
          <w:b w:val="0"/>
          <w:i w:val="0"/>
          <w:color w:val="000000"/>
          <w:sz w:val="21"/>
        </w:rPr>
        <w:t>La synchronisation demandée par le SOW est réalisée et documentée. L'association globale THI-activité est positive et persiste après contrôle d'une tendance calendaire simple. Elle est principalement portée par les différences entre jours et n'est pas confirmée dans l'analyse intra-jour. Aucune relation causale ni baisse d'activité liée au stress thermique sévère ne peut être conclue.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Limite thermique. </w:t>
      </w:r>
      <w:r>
        <w:rPr>
          <w:rFonts w:ascii="Calibri" w:hAnsi="Calibri"/>
          <w:b w:val="0"/>
          <w:i w:val="0"/>
          <w:color w:val="000000"/>
          <w:sz w:val="21"/>
        </w:rPr>
        <w:t>Le stress sévère est rare dans le corpus; les conclusions restent limitées à la plage de THI observée au Québec pendant Summer 2019.</w:t>
      </w:r>
    </w:p>
    <w:p>
      <w:pPr>
        <w:spacing w:after="120" w:line="264" w:lineRule="auto"/>
      </w:pPr>
      <w:r>
        <w:rPr>
          <w:rFonts w:ascii="Calibri" w:hAnsi="Calibri"/>
          <w:b/>
          <w:i w:val="0"/>
          <w:color w:val="000000"/>
          <w:sz w:val="21"/>
        </w:rPr>
        <w:t xml:space="preserve">Confondants. </w:t>
      </w:r>
      <w:r>
        <w:rPr>
          <w:rFonts w:ascii="Calibri" w:hAnsi="Calibri"/>
          <w:b w:val="0"/>
          <w:i w:val="0"/>
          <w:color w:val="000000"/>
          <w:sz w:val="21"/>
        </w:rPr>
        <w:t>La progression saisonnière, l'accès à l'exercice, le jour d'observation et d'autres variables individuelles peuvent expliquer une partie du signal.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95959"/>
        <w:sz w:val="18"/>
      </w:rPr>
      <w:t xml:space="preserve">Page </w:t>
    </w:r>
    <w: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 w:val="0"/>
        <w:i w:val="0"/>
        <w:color w:val="595959"/>
        <w:sz w:val="18"/>
      </w:rPr>
      <w:t>Projet McGill / WELL-E | Objectif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