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005A84"/>
          <w:sz w:val="19"/>
        </w:rPr>
        <w:t>OBJECTIF 4  |  SUPPORT AUX OUTILS WELL-E</w:t>
      </w:r>
    </w:p>
    <w:p>
      <w:pPr>
        <w:keepNext/>
        <w:spacing w:after="80"/>
      </w:pPr>
      <w:r>
        <w:rPr>
          <w:rFonts w:ascii="Calibri" w:hAnsi="Calibri"/>
          <w:b/>
          <w:color w:val="111111"/>
          <w:sz w:val="46"/>
        </w:rPr>
        <w:t>Revue annotée de la conversion MATLAB vers Python</w:t>
      </w:r>
    </w:p>
    <w:p>
      <w:pPr>
        <w:spacing w:after="280"/>
      </w:pPr>
      <w:r>
        <w:rPr>
          <w:rFonts w:ascii="Calibri" w:hAnsi="Calibri"/>
          <w:color w:val="667085"/>
          <w:sz w:val="25"/>
        </w:rPr>
        <w:t>Vérification, corrections et validation sur l’exemple du 27 mars</w:t>
      </w:r>
    </w:p>
    <w:p>
      <w:pPr>
        <w:spacing w:after="240"/>
        <w:pBdr>
          <w:bottom w:val="single" w:sz="12" w:space="1" w:color="005A84"/>
        </w:pBdr>
      </w:pPr>
    </w:p>
    <w:p>
      <w:r>
        <w:rPr>
          <w:rFonts w:ascii="Calibri" w:hAnsi="Calibri"/>
          <w:b/>
          <w:color w:val="111111"/>
          <w:sz w:val="22"/>
        </w:rPr>
        <w:t>Date de contrôle :</w:t>
      </w:r>
      <w:r>
        <w:rPr>
          <w:rFonts w:ascii="Calibri" w:hAnsi="Calibri"/>
          <w:color w:val="111111"/>
          <w:sz w:val="22"/>
        </w:rPr>
        <w:t xml:space="preserve"> 22 juillet 2026</w:t>
      </w:r>
    </w:p>
    <w:p>
      <w:r>
        <w:rPr>
          <w:rFonts w:ascii="Calibri" w:hAnsi="Calibri"/>
          <w:b/>
          <w:color w:val="111111"/>
          <w:sz w:val="22"/>
        </w:rPr>
        <w:t>Référence MATLAB :</w:t>
      </w:r>
      <w:r>
        <w:rPr>
          <w:rFonts w:ascii="Calibri" w:hAnsi="Calibri"/>
          <w:color w:val="111111"/>
          <w:sz w:val="22"/>
        </w:rPr>
        <w:t xml:space="preserve"> </w:t>
      </w:r>
      <w:r>
        <w:rPr>
          <w:rFonts w:ascii="Courier New" w:hAnsi="Courier New"/>
          <w:color w:val="163A59"/>
          <w:sz w:val="21"/>
        </w:rPr>
        <w:t>convert2metrics_V1p7.m</w:t>
      </w:r>
    </w:p>
    <w:p>
      <w:r>
        <w:rPr>
          <w:rFonts w:ascii="Calibri" w:hAnsi="Calibri"/>
          <w:b/>
          <w:color w:val="111111"/>
          <w:sz w:val="22"/>
        </w:rPr>
        <w:t>Scripts Python reçus :</w:t>
      </w:r>
      <w:r>
        <w:rPr>
          <w:rFonts w:ascii="Calibri" w:hAnsi="Calibri"/>
          <w:color w:val="111111"/>
          <w:sz w:val="22"/>
        </w:rPr>
        <w:t xml:space="preserve"> </w:t>
      </w:r>
      <w:r>
        <w:rPr>
          <w:rFonts w:ascii="Courier New" w:hAnsi="Courier New"/>
          <w:color w:val="163A59"/>
          <w:sz w:val="21"/>
        </w:rPr>
        <w:t>make_traj_csv.py</w:t>
      </w:r>
      <w:r>
        <w:rPr>
          <w:rFonts w:ascii="Calibri" w:hAnsi="Calibri"/>
          <w:color w:val="111111"/>
          <w:sz w:val="22"/>
        </w:rPr>
        <w:t xml:space="preserve">, </w:t>
      </w:r>
      <w:r>
        <w:rPr>
          <w:rFonts w:ascii="Courier New" w:hAnsi="Courier New"/>
          <w:color w:val="163A59"/>
          <w:sz w:val="21"/>
        </w:rPr>
        <w:t>compute_metrics.py</w:t>
      </w:r>
    </w:p>
    <w:p>
      <w:pPr>
        <w:spacing w:before="80" w:after="200"/>
        <w:ind w:left="173" w:right="173"/>
        <w:shd w:fill="EAF3F8"/>
      </w:pPr>
      <w:r>
        <w:rPr>
          <w:rFonts w:ascii="Calibri" w:hAnsi="Calibri"/>
          <w:b/>
          <w:color w:val="111111"/>
          <w:sz w:val="22"/>
        </w:rPr>
        <w:t>Verdict :</w:t>
      </w:r>
      <w:r>
        <w:rPr>
          <w:rFonts w:ascii="Calibri" w:hAnsi="Calibri"/>
          <w:color w:val="111111"/>
          <w:sz w:val="22"/>
        </w:rPr>
        <w:t xml:space="preserve"> conversion continue globalement cohérente; corrections nécessaires intégrées dans une copie nettoyée.</w:t>
      </w:r>
    </w:p>
    <w:p>
      <w:pPr>
        <w:pStyle w:val="Heading1"/>
      </w:pPr>
      <w:r>
        <w:t>Résumé de décision</w:t>
      </w:r>
    </w:p>
    <w:p>
      <w:r>
        <w:rPr>
          <w:rFonts w:ascii="Calibri" w:hAnsi="Calibri"/>
          <w:color w:val="111111"/>
          <w:sz w:val="22"/>
        </w:rPr>
        <w:t>La conversion des trajectoires et les quatre métriques numériques principales reproduisent exactement le comportement des scripts Python reçus sur l'exemple du 27 mars. Les scripts initiaux n'étaient toutefois pas prêts à être utilisés tels quels dans tous les scénarios décrits par la SOP : le mode sparse contenait une erreur de colonnes, la saisie interactive des orientations sparse manquait, les cartes d'occupation normalisées étaient omises et l'exécution dépendait de chemins Windows codés en dur.</w:t>
      </w:r>
    </w:p>
    <w:p>
      <w:r>
        <w:rPr>
          <w:rFonts w:ascii="Calibri" w:hAnsi="Calibri"/>
          <w:color w:val="111111"/>
          <w:sz w:val="22"/>
        </w:rPr>
        <w:t xml:space="preserve">Les originaux ont été conservés sans modification. Les corrections sont dans </w:t>
      </w:r>
      <w:r>
        <w:rPr>
          <w:rFonts w:ascii="Courier New" w:hAnsi="Courier New"/>
          <w:color w:val="163A59"/>
          <w:sz w:val="21"/>
        </w:rPr>
        <w:t>objective4_welle_toolkits/code/</w:t>
      </w:r>
      <w:r>
        <w:rPr>
          <w:rFonts w:ascii="Calibri" w:hAnsi="Calibri"/>
          <w:color w:val="111111"/>
          <w:sz w:val="22"/>
        </w:rPr>
        <w:t>.</w:t>
      </w:r>
    </w:p>
    <w:p>
      <w:pPr>
        <w:pStyle w:val="Heading1"/>
      </w:pPr>
      <w:r>
        <w:t>Résultats de validation</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trPr>
        <w:tc>
          <w:tcPr>
            <w:tcW w:type="dxa" w:w="3600"/>
            <w:shd w:fill="005A84"/>
            <w:tcMar>
              <w:top w:w="70" w:type="dxa"/>
              <w:start w:w="120" w:type="dxa"/>
              <w:bottom w:w="70" w:type="dxa"/>
              <w:end w:w="120" w:type="dxa"/>
            </w:tcMar>
            <w:vAlign w:val="center"/>
          </w:tcPr>
          <w:p>
            <w:pPr>
              <w:spacing w:after="0"/>
            </w:pPr>
            <w:r>
              <w:rPr>
                <w:rFonts w:ascii="Calibri" w:hAnsi="Calibri"/>
                <w:b/>
                <w:color w:val="FFFFFF"/>
                <w:sz w:val="19"/>
              </w:rPr>
              <w:t>Contrôle</w:t>
            </w:r>
          </w:p>
        </w:tc>
        <w:tc>
          <w:tcPr>
            <w:tcW w:type="dxa" w:w="5760"/>
            <w:shd w:fill="005A84"/>
            <w:tcMar>
              <w:top w:w="70" w:type="dxa"/>
              <w:start w:w="120" w:type="dxa"/>
              <w:bottom w:w="70" w:type="dxa"/>
              <w:end w:w="120" w:type="dxa"/>
            </w:tcMar>
            <w:vAlign w:val="center"/>
          </w:tcPr>
          <w:p>
            <w:pPr>
              <w:spacing w:after="0"/>
            </w:pPr>
            <w:r>
              <w:rPr>
                <w:rFonts w:ascii="Calibri" w:hAnsi="Calibri"/>
                <w:b/>
                <w:color w:val="FFFFFF"/>
                <w:sz w:val="19"/>
              </w:rPr>
              <w:t>Résultat</w:t>
            </w:r>
          </w:p>
        </w:tc>
      </w:tr>
      <w:tr>
        <w:tc>
          <w:tcPr>
            <w:tcW w:type="dxa" w:w="3600"/>
            <w:tcMar>
              <w:top w:w="70" w:type="dxa"/>
              <w:start w:w="120" w:type="dxa"/>
              <w:bottom w:w="70" w:type="dxa"/>
              <w:end w:w="120" w:type="dxa"/>
            </w:tcMar>
            <w:vAlign w:val="center"/>
          </w:tcPr>
          <w:p>
            <w:pPr>
              <w:spacing w:after="0"/>
            </w:pPr>
            <w:r>
              <w:rPr>
                <w:rFonts w:ascii="Calibri" w:hAnsi="Calibri"/>
                <w:color w:val="111111"/>
                <w:sz w:val="18"/>
              </w:rPr>
              <w:t>Conversion du fichier du 27 mars</w:t>
            </w:r>
          </w:p>
        </w:tc>
        <w:tc>
          <w:tcPr>
            <w:tcW w:type="dxa" w:w="5760"/>
            <w:tcMar>
              <w:top w:w="70" w:type="dxa"/>
              <w:start w:w="120" w:type="dxa"/>
              <w:bottom w:w="70" w:type="dxa"/>
              <w:end w:w="120" w:type="dxa"/>
            </w:tcMar>
            <w:vAlign w:val="center"/>
          </w:tcPr>
          <w:p>
            <w:pPr>
              <w:spacing w:after="0"/>
            </w:pPr>
            <w:r>
              <w:rPr>
                <w:rFonts w:ascii="Calibri" w:hAnsi="Calibri"/>
                <w:color w:val="111111"/>
                <w:sz w:val="18"/>
              </w:rPr>
              <w:t>314 715 lignes, 13 vaches, 36 331 frames distinctes, 0 écart numérique</w:t>
            </w:r>
          </w:p>
        </w:tc>
      </w:tr>
      <w:tr>
        <w:tc>
          <w:tcPr>
            <w:tcW w:type="dxa" w:w="3600"/>
            <w:shd w:fill="F2F4F7"/>
            <w:tcMar>
              <w:top w:w="70" w:type="dxa"/>
              <w:start w:w="120" w:type="dxa"/>
              <w:bottom w:w="70" w:type="dxa"/>
              <w:end w:w="120" w:type="dxa"/>
            </w:tcMar>
            <w:vAlign w:val="center"/>
          </w:tcPr>
          <w:p>
            <w:pPr>
              <w:spacing w:after="0"/>
            </w:pPr>
            <w:r>
              <w:rPr>
                <w:rFonts w:ascii="Calibri" w:hAnsi="Calibri"/>
                <w:color w:val="111111"/>
                <w:sz w:val="18"/>
              </w:rPr>
              <w:t>Matrice de distances</w:t>
            </w:r>
          </w:p>
        </w:tc>
        <w:tc>
          <w:tcPr>
            <w:tcW w:type="dxa" w:w="5760"/>
            <w:shd w:fill="F2F4F7"/>
            <w:tcMar>
              <w:top w:w="70" w:type="dxa"/>
              <w:start w:w="120" w:type="dxa"/>
              <w:bottom w:w="70" w:type="dxa"/>
              <w:end w:w="120" w:type="dxa"/>
            </w:tcMar>
            <w:vAlign w:val="center"/>
          </w:tcPr>
          <w:p>
            <w:pPr>
              <w:spacing w:after="0"/>
            </w:pPr>
            <w:r>
              <w:rPr>
                <w:rFonts w:ascii="Calibri" w:hAnsi="Calibri"/>
                <w:color w:val="111111"/>
                <w:sz w:val="18"/>
              </w:rPr>
              <w:t>73 cellules comparables, écart maximal 0</w:t>
            </w:r>
          </w:p>
        </w:tc>
      </w:tr>
      <w:tr>
        <w:tc>
          <w:tcPr>
            <w:tcW w:type="dxa" w:w="3600"/>
            <w:tcMar>
              <w:top w:w="70" w:type="dxa"/>
              <w:start w:w="120" w:type="dxa"/>
              <w:bottom w:w="70" w:type="dxa"/>
              <w:end w:w="120" w:type="dxa"/>
            </w:tcMar>
            <w:vAlign w:val="center"/>
          </w:tcPr>
          <w:p>
            <w:pPr>
              <w:spacing w:after="0"/>
            </w:pPr>
            <w:r>
              <w:rPr>
                <w:rFonts w:ascii="Calibri" w:hAnsi="Calibri"/>
                <w:color w:val="111111"/>
                <w:sz w:val="18"/>
              </w:rPr>
              <w:t>Distance totale</w:t>
            </w:r>
          </w:p>
        </w:tc>
        <w:tc>
          <w:tcPr>
            <w:tcW w:type="dxa" w:w="5760"/>
            <w:tcMar>
              <w:top w:w="70" w:type="dxa"/>
              <w:start w:w="120" w:type="dxa"/>
              <w:bottom w:w="70" w:type="dxa"/>
              <w:end w:w="120" w:type="dxa"/>
            </w:tcMar>
            <w:vAlign w:val="center"/>
          </w:tcPr>
          <w:p>
            <w:pPr>
              <w:spacing w:after="0"/>
            </w:pPr>
            <w:r>
              <w:rPr>
                <w:rFonts w:ascii="Calibri" w:hAnsi="Calibri"/>
                <w:color w:val="111111"/>
                <w:sz w:val="18"/>
              </w:rPr>
              <w:t>Écart maximal 0 pour les 13 vaches</w:t>
            </w:r>
          </w:p>
        </w:tc>
      </w:tr>
      <w:tr>
        <w:tc>
          <w:tcPr>
            <w:tcW w:type="dxa" w:w="3600"/>
            <w:shd w:fill="F2F4F7"/>
            <w:tcMar>
              <w:top w:w="70" w:type="dxa"/>
              <w:start w:w="120" w:type="dxa"/>
              <w:bottom w:w="70" w:type="dxa"/>
              <w:end w:w="120" w:type="dxa"/>
            </w:tcMar>
            <w:vAlign w:val="center"/>
          </w:tcPr>
          <w:p>
            <w:pPr>
              <w:spacing w:after="0"/>
            </w:pPr>
            <w:r>
              <w:rPr>
                <w:rFonts w:ascii="Calibri" w:hAnsi="Calibri"/>
                <w:color w:val="111111"/>
                <w:sz w:val="18"/>
              </w:rPr>
              <w:t>Vitesse moyenne</w:t>
            </w:r>
          </w:p>
        </w:tc>
        <w:tc>
          <w:tcPr>
            <w:tcW w:type="dxa" w:w="5760"/>
            <w:shd w:fill="F2F4F7"/>
            <w:tcMar>
              <w:top w:w="70" w:type="dxa"/>
              <w:start w:w="120" w:type="dxa"/>
              <w:bottom w:w="70" w:type="dxa"/>
              <w:end w:w="120" w:type="dxa"/>
            </w:tcMar>
            <w:vAlign w:val="center"/>
          </w:tcPr>
          <w:p>
            <w:pPr>
              <w:spacing w:after="0"/>
            </w:pPr>
            <w:r>
              <w:rPr>
                <w:rFonts w:ascii="Calibri" w:hAnsi="Calibri"/>
                <w:color w:val="111111"/>
                <w:sz w:val="18"/>
              </w:rPr>
              <w:t>Écart maximal 0 pour les 13 vaches</w:t>
            </w:r>
          </w:p>
        </w:tc>
      </w:tr>
      <w:tr>
        <w:tc>
          <w:tcPr>
            <w:tcW w:type="dxa" w:w="3600"/>
            <w:tcMar>
              <w:top w:w="70" w:type="dxa"/>
              <w:start w:w="120" w:type="dxa"/>
              <w:bottom w:w="70" w:type="dxa"/>
              <w:end w:w="120" w:type="dxa"/>
            </w:tcMar>
            <w:vAlign w:val="center"/>
          </w:tcPr>
          <w:p>
            <w:pPr>
              <w:spacing w:after="0"/>
            </w:pPr>
            <w:r>
              <w:rPr>
                <w:rFonts w:ascii="Calibri" w:hAnsi="Calibri"/>
                <w:color w:val="111111"/>
                <w:sz w:val="18"/>
              </w:rPr>
              <w:t>Accélération moyenne</w:t>
            </w:r>
          </w:p>
        </w:tc>
        <w:tc>
          <w:tcPr>
            <w:tcW w:type="dxa" w:w="5760"/>
            <w:tcMar>
              <w:top w:w="70" w:type="dxa"/>
              <w:start w:w="120" w:type="dxa"/>
              <w:bottom w:w="70" w:type="dxa"/>
              <w:end w:w="120" w:type="dxa"/>
            </w:tcMar>
            <w:vAlign w:val="center"/>
          </w:tcPr>
          <w:p>
            <w:pPr>
              <w:spacing w:after="0"/>
            </w:pPr>
            <w:r>
              <w:rPr>
                <w:rFonts w:ascii="Calibri" w:hAnsi="Calibri"/>
                <w:color w:val="111111"/>
                <w:sz w:val="18"/>
              </w:rPr>
              <w:t>Écart maximal 0 pour les 13 vaches</w:t>
            </w:r>
          </w:p>
        </w:tc>
      </w:tr>
      <w:tr>
        <w:tc>
          <w:tcPr>
            <w:tcW w:type="dxa" w:w="3600"/>
            <w:shd w:fill="F2F4F7"/>
            <w:tcMar>
              <w:top w:w="70" w:type="dxa"/>
              <w:start w:w="120" w:type="dxa"/>
              <w:bottom w:w="70" w:type="dxa"/>
              <w:end w:w="120" w:type="dxa"/>
            </w:tcMar>
            <w:vAlign w:val="center"/>
          </w:tcPr>
          <w:p>
            <w:pPr>
              <w:spacing w:after="0"/>
            </w:pPr>
            <w:r>
              <w:rPr>
                <w:rFonts w:ascii="Calibri" w:hAnsi="Calibri"/>
                <w:color w:val="111111"/>
                <w:sz w:val="18"/>
              </w:rPr>
              <w:t>Orientation continue complète</w:t>
            </w:r>
          </w:p>
        </w:tc>
        <w:tc>
          <w:tcPr>
            <w:tcW w:type="dxa" w:w="5760"/>
            <w:shd w:fill="F2F4F7"/>
            <w:tcMar>
              <w:top w:w="70" w:type="dxa"/>
              <w:start w:w="120" w:type="dxa"/>
              <w:bottom w:w="70" w:type="dxa"/>
              <w:end w:w="120" w:type="dxa"/>
            </w:tcMar>
            <w:vAlign w:val="center"/>
          </w:tcPr>
          <w:p>
            <w:pPr>
              <w:spacing w:after="0"/>
            </w:pPr>
            <w:r>
              <w:rPr>
                <w:rFonts w:ascii="Calibri" w:hAnsi="Calibri"/>
                <w:color w:val="111111"/>
                <w:sz w:val="18"/>
              </w:rPr>
              <w:t>314 715 vecteurs, tous finis et de norme 1; environ 27 secondes</w:t>
            </w:r>
          </w:p>
        </w:tc>
      </w:tr>
      <w:tr>
        <w:tc>
          <w:tcPr>
            <w:tcW w:type="dxa" w:w="3600"/>
            <w:tcMar>
              <w:top w:w="70" w:type="dxa"/>
              <w:start w:w="120" w:type="dxa"/>
              <w:bottom w:w="70" w:type="dxa"/>
              <w:end w:w="120" w:type="dxa"/>
            </w:tcMar>
            <w:vAlign w:val="center"/>
          </w:tcPr>
          <w:p>
            <w:pPr>
              <w:spacing w:after="0"/>
            </w:pPr>
            <w:r>
              <w:rPr>
                <w:rFonts w:ascii="Calibri" w:hAnsi="Calibri"/>
                <w:color w:val="111111"/>
                <w:sz w:val="18"/>
              </w:rPr>
              <w:t>Cartes d'occupation</w:t>
            </w:r>
          </w:p>
        </w:tc>
        <w:tc>
          <w:tcPr>
            <w:tcW w:type="dxa" w:w="5760"/>
            <w:tcMar>
              <w:top w:w="70" w:type="dxa"/>
              <w:start w:w="120" w:type="dxa"/>
              <w:bottom w:w="70" w:type="dxa"/>
              <w:end w:w="120" w:type="dxa"/>
            </w:tcMar>
            <w:vAlign w:val="center"/>
          </w:tcPr>
          <w:p>
            <w:pPr>
              <w:spacing w:after="0"/>
            </w:pPr>
            <w:r>
              <w:rPr>
                <w:rFonts w:ascii="Calibri" w:hAnsi="Calibri"/>
                <w:color w:val="111111"/>
                <w:sz w:val="18"/>
              </w:rPr>
              <w:t>13 heatmaps, 13 PNG normalisés et 13 fichiers NPY de comptes bruts</w:t>
            </w:r>
          </w:p>
        </w:tc>
      </w:tr>
      <w:tr>
        <w:tc>
          <w:tcPr>
            <w:tcW w:type="dxa" w:w="3600"/>
            <w:shd w:fill="F2F4F7"/>
            <w:tcMar>
              <w:top w:w="70" w:type="dxa"/>
              <w:start w:w="120" w:type="dxa"/>
              <w:bottom w:w="70" w:type="dxa"/>
              <w:end w:w="120" w:type="dxa"/>
            </w:tcMar>
            <w:vAlign w:val="center"/>
          </w:tcPr>
          <w:p>
            <w:pPr>
              <w:spacing w:after="0"/>
            </w:pPr>
            <w:r>
              <w:rPr>
                <w:rFonts w:ascii="Calibri" w:hAnsi="Calibri"/>
                <w:color w:val="111111"/>
                <w:sz w:val="18"/>
              </w:rPr>
              <w:t>Vidéo annotée de contrôle</w:t>
            </w:r>
          </w:p>
        </w:tc>
        <w:tc>
          <w:tcPr>
            <w:tcW w:type="dxa" w:w="5760"/>
            <w:shd w:fill="F2F4F7"/>
            <w:tcMar>
              <w:top w:w="70" w:type="dxa"/>
              <w:start w:w="120" w:type="dxa"/>
              <w:bottom w:w="70" w:type="dxa"/>
              <w:end w:w="120" w:type="dxa"/>
            </w:tcMar>
            <w:vAlign w:val="center"/>
          </w:tcPr>
          <w:p>
            <w:pPr>
              <w:spacing w:after="0"/>
            </w:pPr>
            <w:r>
              <w:rPr>
                <w:rFonts w:ascii="Calibri" w:hAnsi="Calibri"/>
                <w:color w:val="111111"/>
                <w:sz w:val="18"/>
              </w:rPr>
              <w:t>37 frames, 1280 × 720, lisible</w:t>
            </w:r>
          </w:p>
        </w:tc>
      </w:tr>
      <w:tr>
        <w:tc>
          <w:tcPr>
            <w:tcW w:type="dxa" w:w="3600"/>
            <w:tcMar>
              <w:top w:w="70" w:type="dxa"/>
              <w:start w:w="120" w:type="dxa"/>
              <w:bottom w:w="70" w:type="dxa"/>
              <w:end w:w="120" w:type="dxa"/>
            </w:tcMar>
            <w:vAlign w:val="center"/>
          </w:tcPr>
          <w:p>
            <w:pPr>
              <w:spacing w:after="0"/>
            </w:pPr>
            <w:r>
              <w:rPr>
                <w:rFonts w:ascii="Calibri" w:hAnsi="Calibri"/>
                <w:color w:val="111111"/>
                <w:sz w:val="18"/>
              </w:rPr>
              <w:t>Tests automatisés</w:t>
            </w:r>
          </w:p>
        </w:tc>
        <w:tc>
          <w:tcPr>
            <w:tcW w:type="dxa" w:w="5760"/>
            <w:tcMar>
              <w:top w:w="70" w:type="dxa"/>
              <w:start w:w="120" w:type="dxa"/>
              <w:bottom w:w="70" w:type="dxa"/>
              <w:end w:w="120" w:type="dxa"/>
            </w:tcMar>
            <w:vAlign w:val="center"/>
          </w:tcPr>
          <w:p>
            <w:pPr>
              <w:spacing w:after="0"/>
            </w:pPr>
            <w:r>
              <w:rPr>
                <w:rFonts w:ascii="Calibri" w:hAnsi="Calibri"/>
                <w:color w:val="111111"/>
                <w:sz w:val="18"/>
              </w:rPr>
              <w:t>6/6 réussis</w:t>
            </w:r>
          </w:p>
        </w:tc>
      </w:tr>
    </w:tbl>
    <w:p>
      <w:pPr>
        <w:spacing w:after="40"/>
      </w:pPr>
    </w:p>
    <w:p>
      <w:pPr>
        <w:pStyle w:val="Heading1"/>
      </w:pPr>
      <w:r>
        <w:t>Constats annotés et corrections</w:t>
      </w:r>
    </w:p>
    <w:p>
      <w:pPr>
        <w:pStyle w:val="Heading2"/>
      </w:pPr>
      <w:r>
        <w:t>A. Erreur bloquante en mode sparse</w:t>
      </w:r>
    </w:p>
    <w:p>
      <w:r>
        <w:rPr>
          <w:rFonts w:ascii="Calibri" w:hAnsi="Calibri"/>
          <w:color w:val="111111"/>
          <w:sz w:val="22"/>
        </w:rPr>
        <w:t xml:space="preserve">Le script reçu utilisait systématiquement les colonnes </w:t>
      </w:r>
      <w:r>
        <w:rPr>
          <w:rFonts w:ascii="Courier New" w:hAnsi="Courier New"/>
          <w:color w:val="163A59"/>
          <w:sz w:val="21"/>
        </w:rPr>
        <w:t>BBl_*</w:t>
      </w:r>
      <w:r>
        <w:rPr>
          <w:rFonts w:ascii="Calibri" w:hAnsi="Calibri"/>
          <w:color w:val="111111"/>
          <w:sz w:val="22"/>
        </w:rPr>
        <w:t xml:space="preserve"> dans le résumé graphique. Or le CSV sparse contient les colonnes </w:t>
      </w:r>
      <w:r>
        <w:rPr>
          <w:rFonts w:ascii="Courier New" w:hAnsi="Courier New"/>
          <w:color w:val="163A59"/>
          <w:sz w:val="21"/>
        </w:rPr>
        <w:t>BB_*</w:t>
      </w:r>
      <w:r>
        <w:rPr>
          <w:rFonts w:ascii="Calibri" w:hAnsi="Calibri"/>
          <w:color w:val="111111"/>
          <w:sz w:val="22"/>
        </w:rPr>
        <w:t>. L'exécution sparse échouait donc avec une erreur de clé. La copie nettoyée choisit maintenant le schéma de boîtes selon le mode et un test automatique couvre ce cas.</w:t>
      </w:r>
    </w:p>
    <w:p>
      <w:r>
        <w:rPr>
          <w:rFonts w:ascii="Calibri" w:hAnsi="Calibri"/>
          <w:b/>
          <w:color w:val="111111"/>
          <w:sz w:val="22"/>
        </w:rPr>
        <w:t>Repères :</w:t>
      </w:r>
      <w:r>
        <w:rPr>
          <w:rFonts w:ascii="Calibri" w:hAnsi="Calibri"/>
          <w:color w:val="111111"/>
          <w:sz w:val="22"/>
        </w:rPr>
        <w:t xml:space="preserve"> Python reçu </w:t>
      </w:r>
      <w:r>
        <w:rPr>
          <w:rFonts w:ascii="Courier New" w:hAnsi="Courier New"/>
          <w:color w:val="163A59"/>
          <w:sz w:val="21"/>
        </w:rPr>
        <w:t>make_traj_csv.py</w:t>
      </w:r>
      <w:r>
        <w:rPr>
          <w:rFonts w:ascii="Calibri" w:hAnsi="Calibri"/>
          <w:color w:val="111111"/>
          <w:sz w:val="22"/>
        </w:rPr>
        <w:t>, ligne 322; Python nettoyé, lignes 323 à 325.</w:t>
      </w:r>
    </w:p>
    <w:p>
      <w:pPr>
        <w:pStyle w:val="Heading2"/>
      </w:pPr>
      <w:r>
        <w:t>B. Fonction d'orientation sparse omise</w:t>
      </w:r>
    </w:p>
    <w:p>
      <w:r>
        <w:rPr>
          <w:rFonts w:ascii="Calibri" w:hAnsi="Calibri"/>
          <w:color w:val="111111"/>
          <w:sz w:val="22"/>
        </w:rPr>
        <w:t xml:space="preserve">Le MATLAB permet de saisir, revoir et corriger manuellement l'orientation de chaque vache pour les images sparse. Le Python reçu demandait seulement à l'utilisateur de fabriquer lui-même </w:t>
      </w:r>
      <w:r>
        <w:rPr>
          <w:rFonts w:ascii="Courier New" w:hAnsi="Courier New"/>
          <w:color w:val="163A59"/>
          <w:sz w:val="21"/>
        </w:rPr>
        <w:t>cow_orientations.csv</w:t>
      </w:r>
      <w:r>
        <w:rPr>
          <w:rFonts w:ascii="Calibri" w:hAnsi="Calibri"/>
          <w:color w:val="111111"/>
          <w:sz w:val="22"/>
        </w:rPr>
        <w:t>. La copie nettoyée fournit une interface OpenCV : clic pour indiquer la direction, Entrée pour confirmer, Q ou Échap pour annuler sans écraser le fichier.</w:t>
      </w:r>
    </w:p>
    <w:p>
      <w:r>
        <w:rPr>
          <w:rFonts w:ascii="Calibri" w:hAnsi="Calibri"/>
          <w:b/>
          <w:color w:val="111111"/>
          <w:sz w:val="22"/>
        </w:rPr>
        <w:t>Repères :</w:t>
      </w:r>
      <w:r>
        <w:rPr>
          <w:rFonts w:ascii="Calibri" w:hAnsi="Calibri"/>
          <w:color w:val="111111"/>
          <w:sz w:val="22"/>
        </w:rPr>
        <w:t xml:space="preserve"> MATLAB, lignes 724 à 900; Python reçu </w:t>
      </w:r>
      <w:r>
        <w:rPr>
          <w:rFonts w:ascii="Courier New" w:hAnsi="Courier New"/>
          <w:color w:val="163A59"/>
          <w:sz w:val="21"/>
        </w:rPr>
        <w:t>compute_metrics.py</w:t>
      </w:r>
      <w:r>
        <w:rPr>
          <w:rFonts w:ascii="Calibri" w:hAnsi="Calibri"/>
          <w:color w:val="111111"/>
          <w:sz w:val="22"/>
        </w:rPr>
        <w:t>, lignes 913 à 923; Python nettoyé, fonction à partir de la ligne 326.</w:t>
      </w:r>
    </w:p>
    <w:p>
      <w:pPr>
        <w:pStyle w:val="Heading2"/>
      </w:pPr>
      <w:r>
        <w:t>C. Sortie quantitative des cartes d'occupation omise</w:t>
      </w:r>
    </w:p>
    <w:p>
      <w:r>
        <w:rPr>
          <w:rFonts w:ascii="Calibri" w:hAnsi="Calibri"/>
          <w:color w:val="111111"/>
          <w:sz w:val="22"/>
        </w:rPr>
        <w:t>La SOP et le MATLAB produisent une carte avec fond vidéo et une carte normalisée sans fond. Le Python reçu ne produisait que la heatmap visuelle. La copie nettoyée écrit désormais, pour chaque vache, une heatmap JPG, un PNG normalisé sans fond et un tableau NPY contenant les comptes bruts.</w:t>
      </w:r>
    </w:p>
    <w:p>
      <w:r>
        <w:rPr>
          <w:rFonts w:ascii="Calibri" w:hAnsi="Calibri"/>
          <w:b/>
          <w:color w:val="111111"/>
          <w:sz w:val="22"/>
        </w:rPr>
        <w:t>Repères :</w:t>
      </w:r>
      <w:r>
        <w:rPr>
          <w:rFonts w:ascii="Calibri" w:hAnsi="Calibri"/>
          <w:color w:val="111111"/>
          <w:sz w:val="22"/>
        </w:rPr>
        <w:t xml:space="preserve"> MATLAB, lignes 1 389 et 1 474; Python reçu, lignes 651 à 655; Python nettoyé, lignes 717 à 726.</w:t>
      </w:r>
    </w:p>
    <w:p>
      <w:pPr>
        <w:pStyle w:val="Heading2"/>
      </w:pPr>
      <w:r>
        <w:t>D. Configuration non portable</w:t>
      </w:r>
    </w:p>
    <w:p>
      <w:r>
        <w:rPr>
          <w:rFonts w:ascii="Calibri" w:hAnsi="Calibri"/>
          <w:color w:val="111111"/>
          <w:sz w:val="22"/>
        </w:rPr>
        <w:t>Les scripts reçus imposaient de modifier les chemins, le mode, les métriques et les options directement dans le code. La copie nettoyée fournit une interface en ligne de commande, détecte les métadonnées vidéo lorsque possible et sépare clairement les entrées des résultats.</w:t>
      </w:r>
    </w:p>
    <w:p>
      <w:r>
        <w:rPr>
          <w:rFonts w:ascii="Calibri" w:hAnsi="Calibri"/>
          <w:b/>
          <w:color w:val="111111"/>
          <w:sz w:val="22"/>
        </w:rPr>
        <w:t>Repères :</w:t>
      </w:r>
      <w:r>
        <w:rPr>
          <w:rFonts w:ascii="Calibri" w:hAnsi="Calibri"/>
          <w:color w:val="111111"/>
          <w:sz w:val="22"/>
        </w:rPr>
        <w:t xml:space="preserve"> Python reçu, lignes 28 à 68; Python nettoyé </w:t>
      </w:r>
      <w:r>
        <w:rPr>
          <w:rFonts w:ascii="Courier New" w:hAnsi="Courier New"/>
          <w:color w:val="163A59"/>
          <w:sz w:val="21"/>
        </w:rPr>
        <w:t>compute_metrics.py</w:t>
      </w:r>
      <w:r>
        <w:rPr>
          <w:rFonts w:ascii="Calibri" w:hAnsi="Calibri"/>
          <w:color w:val="111111"/>
          <w:sz w:val="22"/>
        </w:rPr>
        <w:t>, ligne 996 et suivantes.</w:t>
      </w:r>
    </w:p>
    <w:p>
      <w:pPr>
        <w:pStyle w:val="Heading2"/>
      </w:pPr>
      <w:r>
        <w:t>E. Contrôles d'entrée insuffisants</w:t>
      </w:r>
    </w:p>
    <w:p>
      <w:r>
        <w:rPr>
          <w:rFonts w:ascii="Calibri" w:hAnsi="Calibri"/>
          <w:color w:val="111111"/>
          <w:sz w:val="22"/>
        </w:rPr>
        <w:t xml:space="preserve">La copie nettoyée vérifie le schéma, le mode d'échantillonnage, les identifiants, les doublons vache-frame, l'ordre temporel, les dimensions de boîtes et les frames dépassant la vidéo. Le mode </w:t>
      </w:r>
      <w:r>
        <w:rPr>
          <w:rFonts w:ascii="Courier New" w:hAnsi="Courier New"/>
          <w:color w:val="163A59"/>
          <w:sz w:val="21"/>
        </w:rPr>
        <w:t>--strict</w:t>
      </w:r>
      <w:r>
        <w:rPr>
          <w:rFonts w:ascii="Calibri" w:hAnsi="Calibri"/>
          <w:color w:val="111111"/>
          <w:sz w:val="22"/>
        </w:rPr>
        <w:t xml:space="preserve"> bloque la conversion si un de ces invariants est violé.</w:t>
      </w:r>
    </w:p>
    <w:p>
      <w:r>
        <w:rPr>
          <w:rFonts w:ascii="Calibri" w:hAnsi="Calibri"/>
          <w:b/>
          <w:color w:val="111111"/>
          <w:sz w:val="22"/>
        </w:rPr>
        <w:t>Repères :</w:t>
      </w:r>
      <w:r>
        <w:rPr>
          <w:rFonts w:ascii="Calibri" w:hAnsi="Calibri"/>
          <w:color w:val="111111"/>
          <w:sz w:val="22"/>
        </w:rPr>
        <w:t xml:space="preserve"> Python nettoyé </w:t>
      </w:r>
      <w:r>
        <w:rPr>
          <w:rFonts w:ascii="Courier New" w:hAnsi="Courier New"/>
          <w:color w:val="163A59"/>
          <w:sz w:val="21"/>
        </w:rPr>
        <w:t>compute_metrics.py</w:t>
      </w:r>
      <w:r>
        <w:rPr>
          <w:rFonts w:ascii="Calibri" w:hAnsi="Calibri"/>
          <w:color w:val="111111"/>
          <w:sz w:val="22"/>
        </w:rPr>
        <w:t xml:space="preserve">, ligne 55; </w:t>
      </w:r>
      <w:r>
        <w:rPr>
          <w:rFonts w:ascii="Courier New" w:hAnsi="Courier New"/>
          <w:color w:val="163A59"/>
          <w:sz w:val="21"/>
        </w:rPr>
        <w:t>make_traj_csv.py</w:t>
      </w:r>
      <w:r>
        <w:rPr>
          <w:rFonts w:ascii="Calibri" w:hAnsi="Calibri"/>
          <w:color w:val="111111"/>
          <w:sz w:val="22"/>
        </w:rPr>
        <w:t>, lignes 439 à 477.</w:t>
      </w:r>
    </w:p>
    <w:p>
      <w:r>
        <w:br w:type="page"/>
      </w:r>
    </w:p>
    <w:p>
      <w:pPr>
        <w:pStyle w:val="Heading2"/>
      </w:pPr>
      <w:r>
        <w:t>F. Aperçu vidéo mal borné</w:t>
      </w:r>
    </w:p>
    <w:p>
      <w:r>
        <w:rPr>
          <w:rFonts w:ascii="Calibri" w:hAnsi="Calibri"/>
          <w:color w:val="111111"/>
          <w:sz w:val="22"/>
        </w:rPr>
        <w:t>L'aperçu reçu comptait N minutes depuis la frame 0. Dans l'exemple, le suivi commence à la frame 23 131; un court aperçu devenait donc vide et provoquait une erreur. La copie nettoyée compte maintenant la durée depuis la première frame suivie et vérifie l'ouverture du lecteur et de l'encodeur vidéo.</w:t>
      </w:r>
    </w:p>
    <w:p>
      <w:r>
        <w:rPr>
          <w:rFonts w:ascii="Calibri" w:hAnsi="Calibri"/>
          <w:b/>
          <w:color w:val="111111"/>
          <w:sz w:val="22"/>
        </w:rPr>
        <w:t>Repères :</w:t>
      </w:r>
      <w:r>
        <w:rPr>
          <w:rFonts w:ascii="Calibri" w:hAnsi="Calibri"/>
          <w:color w:val="111111"/>
          <w:sz w:val="22"/>
        </w:rPr>
        <w:t xml:space="preserve"> Python reçu </w:t>
      </w:r>
      <w:r>
        <w:rPr>
          <w:rFonts w:ascii="Courier New" w:hAnsi="Courier New"/>
          <w:color w:val="163A59"/>
          <w:sz w:val="21"/>
        </w:rPr>
        <w:t>compute_metrics.py</w:t>
      </w:r>
      <w:r>
        <w:rPr>
          <w:rFonts w:ascii="Calibri" w:hAnsi="Calibri"/>
          <w:color w:val="111111"/>
          <w:sz w:val="22"/>
        </w:rPr>
        <w:t>, lignes 730 à 737; Python nettoyé, lignes 815 à 824.</w:t>
      </w:r>
    </w:p>
    <w:p>
      <w:pPr>
        <w:pStyle w:val="Heading1"/>
      </w:pPr>
      <w:r>
        <w:t>Correspondance fonctionnelle</w:t>
      </w:r>
    </w:p>
    <w:p>
      <w:r>
        <w:rPr>
          <w:rFonts w:ascii="Calibri" w:hAnsi="Calibri"/>
          <w:color w:val="111111"/>
          <w:sz w:val="22"/>
        </w:rPr>
        <w:t>Les étapes 3.1, 3.2, 3.3, 3.4, 3.5, 3.6 et 3.8 du MATLAB ont un équivalent Python. La matrice de distances continue reste volontairement triangulaire supérieure, conformément à la SOP. La section 3.7 « identity map » n'est pas implémentée dans le MATLAB de référence et demeure marquée comme indéterminée dans la SOP; son absence du Python n'est donc pas classée comme régression, mais son besoin doit être clarifié.</w:t>
      </w:r>
    </w:p>
    <w:p>
      <w:pPr>
        <w:pStyle w:val="Heading1"/>
      </w:pPr>
      <w:r>
        <w:t>Portée de la conclusion</w:t>
      </w:r>
    </w:p>
    <w:p>
      <w:r>
        <w:rPr>
          <w:rFonts w:ascii="Calibri" w:hAnsi="Calibri"/>
          <w:color w:val="111111"/>
          <w:sz w:val="22"/>
        </w:rPr>
        <w:t>La tâche 4.1 est techniquement terminée pour la revue, le nettoyage et la validation du chemin continu fourni. On peut affirmer une parité exacte avec la version Python reçue sur les métriques testées et une correspondance structurelle solide avec le MATLAB. On ne doit pas affirmer une équivalence noire-boîte complète MATLAB/Python tant que des sorties MATLAB de référence sur le même fichier ne sont pas disponibles. L'interface sparse interactive doit aussi faire l'objet d'un essai utilisateur sur le poste de production.</w:t>
      </w:r>
    </w:p>
    <w:sectPr w:rsidR="00FC693F" w:rsidRPr="0006063C" w:rsidSect="00034616">
      <w:headerReference w:type="default" r:id="rId9"/>
      <w:footerReference w:type="default" r:id="rId10"/>
      <w:pgSz w:w="12240" w:h="15840"/>
      <w:pgMar w:top="1224" w:right="1440" w:bottom="115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r>
      <w:rPr>
        <w:rFonts w:ascii="Calibri" w:hAnsi="Calibri"/>
        <w:color w:val="667085"/>
        <w:sz w:val="18"/>
      </w:rPr>
      <w:t xml:space="preserve">  |  McGill - WELL-E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8"/>
      </w:rPr>
      <w:t>Objectif 4.1 | Revue de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5A8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5A8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A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Aliou Barry</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Revue annotée de la conversion MATLAB vers Python</dc:title>
  <dc:subject>Objectif 4 - Support aux outils WELL-E</dc:subject>
  <dc:creator>Aliou Barry</dc:creator>
  <cp:keywords/>
  <dc:description/>
  <cp:lastModifiedBy>Aliou Barry</cp:lastModifiedBy>
  <cp:revision>1</cp:revision>
  <dcterms:created xsi:type="dcterms:W3CDTF">2013-12-23T23:15:00Z</dcterms:created>
  <dcterms:modified xsi:type="dcterms:W3CDTF">2013-12-23T23:15:00Z</dcterms:modified>
  <cp:category/>
</cp:coreProperties>
</file>