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00000"/>
          <w:sz w:val="44"/>
        </w:rPr>
        <w:t>Annexe - pipeline actuelle HYPO, instabilité et hybride</w:t>
      </w:r>
    </w:p>
    <w:p>
      <w:pPr>
        <w:spacing w:after="240"/>
      </w:pPr>
      <w:r>
        <w:rPr>
          <w:rFonts w:ascii="Calibri" w:hAnsi="Calibri"/>
          <w:color w:val="000000"/>
          <w:sz w:val="24"/>
        </w:rPr>
        <w:t>Projet McGill / WELL-E - Objectif 1 - Analyse complémentaire</w:t>
      </w:r>
    </w:p>
    <w:p>
      <w:pPr>
        <w:spacing w:after="200"/>
      </w:pPr>
      <w:r>
        <w:rPr>
          <w:rFonts w:ascii="Calibri" w:hAnsi="Calibri"/>
          <w:color w:val="000000"/>
          <w:sz w:val="21"/>
        </w:rPr>
        <w:t>Date: 13 juillet 2026</w:t>
      </w:r>
    </w:p>
    <w:p>
      <w:pPr>
        <w:pStyle w:val="Heading1"/>
      </w:pPr>
      <w:r>
        <w:t>Message principal</w:t>
      </w:r>
    </w:p>
    <w:p>
      <w:r>
        <w:t>La pipeline actuelle HYPO + instabilité + hybride a été appliquée aux mêmes quatre corpus IceTag que la pipeline initiale. Elle produit une détection plus large des signaux comportementaux compatibles avec une perturbation locomotrice. Des scores SLS synchronisés existent pour Winter 2019 et permettent une concordance exploratoire limitée.</w:t>
      </w:r>
    </w:p>
    <w:p>
      <w:pPr>
        <w:pStyle w:val="Heading1"/>
      </w:pPr>
      <w:r>
        <w:t>Résultat global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fill="000000"/>
            <w:vAlign w:val="center"/>
          </w:tcPr>
          <w:p>
            <w:pPr>
              <w:spacing w:after="0"/>
            </w:pPr>
            <w:r/>
            <w:r>
              <w:rPr>
                <w:rFonts w:ascii="Calibri" w:hAnsi="Calibri"/>
                <w:b/>
                <w:color w:val="FFFFFF"/>
                <w:sz w:val="19"/>
              </w:rPr>
              <w:t>Sortie</w:t>
            </w:r>
          </w:p>
        </w:tc>
        <w:tc>
          <w:tcPr>
            <w:tcW w:type="dxa" w:w="3120"/>
            <w:shd w:fill="000000"/>
            <w:vAlign w:val="center"/>
          </w:tcPr>
          <w:p>
            <w:pPr>
              <w:spacing w:after="0"/>
            </w:pPr>
            <w:r/>
            <w:r>
              <w:rPr>
                <w:rFonts w:ascii="Calibri" w:hAnsi="Calibri"/>
                <w:b/>
                <w:color w:val="FFFFFF"/>
                <w:sz w:val="19"/>
              </w:rPr>
              <w:t>Notifications</w:t>
            </w:r>
          </w:p>
        </w:tc>
        <w:tc>
          <w:tcPr>
            <w:tcW w:type="dxa" w:w="3120"/>
            <w:shd w:fill="000000"/>
            <w:vAlign w:val="center"/>
          </w:tcPr>
          <w:p>
            <w:pPr>
              <w:spacing w:after="0"/>
            </w:pPr>
            <w:r/>
            <w:r>
              <w:rPr>
                <w:rFonts w:ascii="Calibri" w:hAnsi="Calibri"/>
                <w:b/>
                <w:color w:val="FFFFFF"/>
                <w:sz w:val="19"/>
              </w:rPr>
              <w:t>Taux / 100 vache-jours</w:t>
            </w:r>
          </w:p>
        </w:tc>
      </w:tr>
      <w:tr>
        <w:tc>
          <w:tcPr>
            <w:tcW w:type="dxa" w:w="3120"/>
            <w:vAlign w:val="center"/>
          </w:tcPr>
          <w:p>
            <w:pPr>
              <w:spacing w:after="0"/>
            </w:pPr>
            <w:r/>
            <w:r>
              <w:rPr>
                <w:rFonts w:ascii="Calibri" w:hAnsi="Calibri"/>
                <w:b w:val="0"/>
                <w:sz w:val="19"/>
              </w:rPr>
              <w:t>Pipeline initiale IF + règles</w:t>
            </w:r>
          </w:p>
        </w:tc>
        <w:tc>
          <w:tcPr>
            <w:tcW w:type="dxa" w:w="3120"/>
            <w:vAlign w:val="center"/>
          </w:tcPr>
          <w:p>
            <w:pPr>
              <w:spacing w:after="0"/>
            </w:pPr>
            <w:r/>
            <w:r>
              <w:rPr>
                <w:rFonts w:ascii="Calibri" w:hAnsi="Calibri"/>
                <w:b w:val="0"/>
                <w:sz w:val="19"/>
              </w:rPr>
              <w:t>385</w:t>
            </w:r>
          </w:p>
        </w:tc>
        <w:tc>
          <w:tcPr>
            <w:tcW w:type="dxa" w:w="3120"/>
            <w:vAlign w:val="center"/>
          </w:tcPr>
          <w:p>
            <w:pPr>
              <w:spacing w:after="0"/>
            </w:pPr>
            <w:r/>
            <w:r>
              <w:rPr>
                <w:rFonts w:ascii="Calibri" w:hAnsi="Calibri"/>
                <w:b w:val="0"/>
                <w:sz w:val="19"/>
              </w:rPr>
              <w:t>9.86</w:t>
            </w:r>
          </w:p>
        </w:tc>
      </w:tr>
      <w:tr>
        <w:tc>
          <w:tcPr>
            <w:tcW w:type="dxa" w:w="3120"/>
            <w:vAlign w:val="center"/>
          </w:tcPr>
          <w:p>
            <w:pPr>
              <w:spacing w:after="0"/>
            </w:pPr>
            <w:r/>
            <w:r>
              <w:rPr>
                <w:rFonts w:ascii="Calibri" w:hAnsi="Calibri"/>
                <w:b w:val="0"/>
                <w:sz w:val="19"/>
              </w:rPr>
              <w:t>HYPO</w:t>
            </w:r>
          </w:p>
        </w:tc>
        <w:tc>
          <w:tcPr>
            <w:tcW w:type="dxa" w:w="3120"/>
            <w:vAlign w:val="center"/>
          </w:tcPr>
          <w:p>
            <w:pPr>
              <w:spacing w:after="0"/>
            </w:pPr>
            <w:r/>
            <w:r>
              <w:rPr>
                <w:rFonts w:ascii="Calibri" w:hAnsi="Calibri"/>
                <w:b w:val="0"/>
                <w:sz w:val="19"/>
              </w:rPr>
              <w:t>746</w:t>
            </w:r>
          </w:p>
        </w:tc>
        <w:tc>
          <w:tcPr>
            <w:tcW w:type="dxa" w:w="3120"/>
            <w:vAlign w:val="center"/>
          </w:tcPr>
          <w:p>
            <w:pPr>
              <w:spacing w:after="0"/>
            </w:pPr>
            <w:r/>
            <w:r>
              <w:rPr>
                <w:rFonts w:ascii="Calibri" w:hAnsi="Calibri"/>
                <w:b w:val="0"/>
                <w:sz w:val="19"/>
              </w:rPr>
              <w:t>-</w:t>
            </w:r>
          </w:p>
        </w:tc>
      </w:tr>
      <w:tr>
        <w:tc>
          <w:tcPr>
            <w:tcW w:type="dxa" w:w="3120"/>
            <w:vAlign w:val="center"/>
          </w:tcPr>
          <w:p>
            <w:pPr>
              <w:spacing w:after="0"/>
            </w:pPr>
            <w:r/>
            <w:r>
              <w:rPr>
                <w:rFonts w:ascii="Calibri" w:hAnsi="Calibri"/>
                <w:b w:val="0"/>
                <w:sz w:val="19"/>
              </w:rPr>
              <w:t>Instabilité</w:t>
            </w:r>
          </w:p>
        </w:tc>
        <w:tc>
          <w:tcPr>
            <w:tcW w:type="dxa" w:w="3120"/>
            <w:vAlign w:val="center"/>
          </w:tcPr>
          <w:p>
            <w:pPr>
              <w:spacing w:after="0"/>
            </w:pPr>
            <w:r/>
            <w:r>
              <w:rPr>
                <w:rFonts w:ascii="Calibri" w:hAnsi="Calibri"/>
                <w:b w:val="0"/>
                <w:sz w:val="19"/>
              </w:rPr>
              <w:t>854</w:t>
            </w:r>
          </w:p>
        </w:tc>
        <w:tc>
          <w:tcPr>
            <w:tcW w:type="dxa" w:w="3120"/>
            <w:vAlign w:val="center"/>
          </w:tcPr>
          <w:p>
            <w:pPr>
              <w:spacing w:after="0"/>
            </w:pPr>
            <w:r/>
            <w:r>
              <w:rPr>
                <w:rFonts w:ascii="Calibri" w:hAnsi="Calibri"/>
                <w:b w:val="0"/>
                <w:sz w:val="19"/>
              </w:rPr>
              <w:t>-</w:t>
            </w:r>
          </w:p>
        </w:tc>
      </w:tr>
      <w:tr>
        <w:tc>
          <w:tcPr>
            <w:tcW w:type="dxa" w:w="3120"/>
            <w:vAlign w:val="center"/>
          </w:tcPr>
          <w:p>
            <w:pPr>
              <w:spacing w:after="0"/>
            </w:pPr>
            <w:r/>
            <w:r>
              <w:rPr>
                <w:rFonts w:ascii="Calibri" w:hAnsi="Calibri"/>
                <w:b w:val="0"/>
                <w:sz w:val="19"/>
              </w:rPr>
              <w:t>Hybride final</w:t>
            </w:r>
          </w:p>
        </w:tc>
        <w:tc>
          <w:tcPr>
            <w:tcW w:type="dxa" w:w="3120"/>
            <w:vAlign w:val="center"/>
          </w:tcPr>
          <w:p>
            <w:pPr>
              <w:spacing w:after="0"/>
            </w:pPr>
            <w:r/>
            <w:r>
              <w:rPr>
                <w:rFonts w:ascii="Calibri" w:hAnsi="Calibri"/>
                <w:b w:val="0"/>
                <w:sz w:val="19"/>
              </w:rPr>
              <w:t>1179</w:t>
            </w:r>
          </w:p>
        </w:tc>
        <w:tc>
          <w:tcPr>
            <w:tcW w:type="dxa" w:w="3120"/>
            <w:vAlign w:val="center"/>
          </w:tcPr>
          <w:p>
            <w:pPr>
              <w:spacing w:after="0"/>
            </w:pPr>
            <w:r/>
            <w:r>
              <w:rPr>
                <w:rFonts w:ascii="Calibri" w:hAnsi="Calibri"/>
                <w:b w:val="0"/>
                <w:sz w:val="19"/>
              </w:rPr>
              <w:t>30.18</w:t>
            </w:r>
          </w:p>
        </w:tc>
      </w:tr>
    </w:tbl>
    <w:p/>
    <w:p>
      <w:r>
        <w:t>Lecture: le comparateur IF reproduit les 385 notifications initiales, tandis que la sortie hybride finale produit 1179 notifications. La hausse reflète une définition plus large de l’alerte comportementale, pas une preuve automatique de meilleure détection clinique.</w:t>
      </w:r>
    </w:p>
    <w:p>
      <w:pPr>
        <w:pStyle w:val="Heading1"/>
      </w:pPr>
      <w:r>
        <w:t>Comparaison par saison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00000"/>
            <w:vAlign w:val="center"/>
          </w:tcPr>
          <w:p>
            <w:pPr>
              <w:spacing w:after="0"/>
            </w:pPr>
            <w:r/>
            <w:r>
              <w:rPr>
                <w:rFonts w:ascii="Calibri" w:hAnsi="Calibri"/>
                <w:b/>
                <w:color w:val="FFFFFF"/>
                <w:sz w:val="19"/>
              </w:rPr>
              <w:t>Saison</w:t>
            </w:r>
          </w:p>
        </w:tc>
        <w:tc>
          <w:tcPr>
            <w:tcW w:type="dxa" w:w="1560"/>
            <w:shd w:fill="000000"/>
            <w:vAlign w:val="center"/>
          </w:tcPr>
          <w:p>
            <w:pPr>
              <w:spacing w:after="0"/>
            </w:pPr>
            <w:r/>
            <w:r>
              <w:rPr>
                <w:rFonts w:ascii="Calibri" w:hAnsi="Calibri"/>
                <w:b/>
                <w:color w:val="FFFFFF"/>
                <w:sz w:val="19"/>
              </w:rPr>
              <w:t>Initiale</w:t>
            </w:r>
          </w:p>
        </w:tc>
        <w:tc>
          <w:tcPr>
            <w:tcW w:type="dxa" w:w="1560"/>
            <w:shd w:fill="000000"/>
            <w:vAlign w:val="center"/>
          </w:tcPr>
          <w:p>
            <w:pPr>
              <w:spacing w:after="0"/>
            </w:pPr>
            <w:r/>
            <w:r>
              <w:rPr>
                <w:rFonts w:ascii="Calibri" w:hAnsi="Calibri"/>
                <w:b/>
                <w:color w:val="FFFFFF"/>
                <w:sz w:val="19"/>
              </w:rPr>
              <w:t>HYPO</w:t>
            </w:r>
          </w:p>
        </w:tc>
        <w:tc>
          <w:tcPr>
            <w:tcW w:type="dxa" w:w="1560"/>
            <w:shd w:fill="000000"/>
            <w:vAlign w:val="center"/>
          </w:tcPr>
          <w:p>
            <w:pPr>
              <w:spacing w:after="0"/>
            </w:pPr>
            <w:r/>
            <w:r>
              <w:rPr>
                <w:rFonts w:ascii="Calibri" w:hAnsi="Calibri"/>
                <w:b/>
                <w:color w:val="FFFFFF"/>
                <w:sz w:val="19"/>
              </w:rPr>
              <w:t>Instabilité</w:t>
            </w:r>
          </w:p>
        </w:tc>
        <w:tc>
          <w:tcPr>
            <w:tcW w:type="dxa" w:w="1560"/>
            <w:shd w:fill="000000"/>
            <w:vAlign w:val="center"/>
          </w:tcPr>
          <w:p>
            <w:pPr>
              <w:spacing w:after="0"/>
            </w:pPr>
            <w:r/>
            <w:r>
              <w:rPr>
                <w:rFonts w:ascii="Calibri" w:hAnsi="Calibri"/>
                <w:b/>
                <w:color w:val="FFFFFF"/>
                <w:sz w:val="19"/>
              </w:rPr>
              <w:t>Hybride</w:t>
            </w:r>
          </w:p>
        </w:tc>
        <w:tc>
          <w:tcPr>
            <w:tcW w:type="dxa" w:w="1560"/>
            <w:shd w:fill="000000"/>
            <w:vAlign w:val="center"/>
          </w:tcPr>
          <w:p>
            <w:pPr>
              <w:spacing w:after="0"/>
            </w:pPr>
            <w:r/>
            <w:r>
              <w:rPr>
                <w:rFonts w:ascii="Calibri" w:hAnsi="Calibri"/>
                <w:b/>
                <w:color w:val="FFFFFF"/>
                <w:sz w:val="19"/>
              </w:rPr>
              <w:t>Hybride / 100 v-j</w:t>
            </w:r>
          </w:p>
        </w:tc>
      </w:tr>
      <w:tr>
        <w:tc>
          <w:tcPr>
            <w:tcW w:type="dxa" w:w="1560"/>
            <w:vAlign w:val="center"/>
          </w:tcPr>
          <w:p>
            <w:pPr>
              <w:spacing w:after="0"/>
            </w:pPr>
            <w:r/>
            <w:r>
              <w:rPr>
                <w:rFonts w:ascii="Calibri" w:hAnsi="Calibri"/>
                <w:b w:val="0"/>
                <w:sz w:val="19"/>
              </w:rPr>
              <w:t>Fall 2019</w:t>
            </w:r>
          </w:p>
        </w:tc>
        <w:tc>
          <w:tcPr>
            <w:tcW w:type="dxa" w:w="1560"/>
            <w:vAlign w:val="center"/>
          </w:tcPr>
          <w:p>
            <w:pPr>
              <w:spacing w:after="0"/>
            </w:pPr>
            <w:r/>
            <w:r>
              <w:rPr>
                <w:rFonts w:ascii="Calibri" w:hAnsi="Calibri"/>
                <w:b w:val="0"/>
                <w:sz w:val="19"/>
              </w:rPr>
              <w:t>105</w:t>
            </w:r>
          </w:p>
        </w:tc>
        <w:tc>
          <w:tcPr>
            <w:tcW w:type="dxa" w:w="1560"/>
            <w:vAlign w:val="center"/>
          </w:tcPr>
          <w:p>
            <w:pPr>
              <w:spacing w:after="0"/>
            </w:pPr>
            <w:r/>
            <w:r>
              <w:rPr>
                <w:rFonts w:ascii="Calibri" w:hAnsi="Calibri"/>
                <w:b w:val="0"/>
                <w:sz w:val="19"/>
              </w:rPr>
              <w:t>198</w:t>
            </w:r>
          </w:p>
        </w:tc>
        <w:tc>
          <w:tcPr>
            <w:tcW w:type="dxa" w:w="1560"/>
            <w:vAlign w:val="center"/>
          </w:tcPr>
          <w:p>
            <w:pPr>
              <w:spacing w:after="0"/>
            </w:pPr>
            <w:r/>
            <w:r>
              <w:rPr>
                <w:rFonts w:ascii="Calibri" w:hAnsi="Calibri"/>
                <w:b w:val="0"/>
                <w:sz w:val="19"/>
              </w:rPr>
              <w:t>197</w:t>
            </w:r>
          </w:p>
        </w:tc>
        <w:tc>
          <w:tcPr>
            <w:tcW w:type="dxa" w:w="1560"/>
            <w:vAlign w:val="center"/>
          </w:tcPr>
          <w:p>
            <w:pPr>
              <w:spacing w:after="0"/>
            </w:pPr>
            <w:r/>
            <w:r>
              <w:rPr>
                <w:rFonts w:ascii="Calibri" w:hAnsi="Calibri"/>
                <w:b w:val="0"/>
                <w:sz w:val="19"/>
              </w:rPr>
              <w:t>299</w:t>
            </w:r>
          </w:p>
        </w:tc>
        <w:tc>
          <w:tcPr>
            <w:tcW w:type="dxa" w:w="1560"/>
            <w:vAlign w:val="center"/>
          </w:tcPr>
          <w:p>
            <w:pPr>
              <w:spacing w:after="0"/>
            </w:pPr>
            <w:r/>
            <w:r>
              <w:rPr>
                <w:rFonts w:ascii="Calibri" w:hAnsi="Calibri"/>
                <w:b w:val="0"/>
                <w:sz w:val="19"/>
              </w:rPr>
              <w:t>30.58</w:t>
            </w:r>
          </w:p>
        </w:tc>
      </w:tr>
      <w:tr>
        <w:tc>
          <w:tcPr>
            <w:tcW w:type="dxa" w:w="1560"/>
            <w:vAlign w:val="center"/>
          </w:tcPr>
          <w:p>
            <w:pPr>
              <w:spacing w:after="0"/>
            </w:pPr>
            <w:r/>
            <w:r>
              <w:rPr>
                <w:rFonts w:ascii="Calibri" w:hAnsi="Calibri"/>
                <w:b w:val="0"/>
                <w:sz w:val="19"/>
              </w:rPr>
              <w:t>Summer 2019</w:t>
            </w:r>
          </w:p>
        </w:tc>
        <w:tc>
          <w:tcPr>
            <w:tcW w:type="dxa" w:w="1560"/>
            <w:vAlign w:val="center"/>
          </w:tcPr>
          <w:p>
            <w:pPr>
              <w:spacing w:after="0"/>
            </w:pPr>
            <w:r/>
            <w:r>
              <w:rPr>
                <w:rFonts w:ascii="Calibri" w:hAnsi="Calibri"/>
                <w:b w:val="0"/>
                <w:sz w:val="19"/>
              </w:rPr>
              <w:t>127</w:t>
            </w:r>
          </w:p>
        </w:tc>
        <w:tc>
          <w:tcPr>
            <w:tcW w:type="dxa" w:w="1560"/>
            <w:vAlign w:val="center"/>
          </w:tcPr>
          <w:p>
            <w:pPr>
              <w:spacing w:after="0"/>
            </w:pPr>
            <w:r/>
            <w:r>
              <w:rPr>
                <w:rFonts w:ascii="Calibri" w:hAnsi="Calibri"/>
                <w:b w:val="0"/>
                <w:sz w:val="19"/>
              </w:rPr>
              <w:t>254</w:t>
            </w:r>
          </w:p>
        </w:tc>
        <w:tc>
          <w:tcPr>
            <w:tcW w:type="dxa" w:w="1560"/>
            <w:vAlign w:val="center"/>
          </w:tcPr>
          <w:p>
            <w:pPr>
              <w:spacing w:after="0"/>
            </w:pPr>
            <w:r/>
            <w:r>
              <w:rPr>
                <w:rFonts w:ascii="Calibri" w:hAnsi="Calibri"/>
                <w:b w:val="0"/>
                <w:sz w:val="19"/>
              </w:rPr>
              <w:t>324</w:t>
            </w:r>
          </w:p>
        </w:tc>
        <w:tc>
          <w:tcPr>
            <w:tcW w:type="dxa" w:w="1560"/>
            <w:vAlign w:val="center"/>
          </w:tcPr>
          <w:p>
            <w:pPr>
              <w:spacing w:after="0"/>
            </w:pPr>
            <w:r/>
            <w:r>
              <w:rPr>
                <w:rFonts w:ascii="Calibri" w:hAnsi="Calibri"/>
                <w:b w:val="0"/>
                <w:sz w:val="19"/>
              </w:rPr>
              <w:t>421</w:t>
            </w:r>
          </w:p>
        </w:tc>
        <w:tc>
          <w:tcPr>
            <w:tcW w:type="dxa" w:w="1560"/>
            <w:vAlign w:val="center"/>
          </w:tcPr>
          <w:p>
            <w:pPr>
              <w:spacing w:after="0"/>
            </w:pPr>
            <w:r/>
            <w:r>
              <w:rPr>
                <w:rFonts w:ascii="Calibri" w:hAnsi="Calibri"/>
                <w:b w:val="0"/>
                <w:sz w:val="19"/>
              </w:rPr>
              <w:t>29.05</w:t>
            </w:r>
          </w:p>
        </w:tc>
      </w:tr>
      <w:tr>
        <w:tc>
          <w:tcPr>
            <w:tcW w:type="dxa" w:w="1560"/>
            <w:vAlign w:val="center"/>
          </w:tcPr>
          <w:p>
            <w:pPr>
              <w:spacing w:after="0"/>
            </w:pPr>
            <w:r/>
            <w:r>
              <w:rPr>
                <w:rFonts w:ascii="Calibri" w:hAnsi="Calibri"/>
                <w:b w:val="0"/>
                <w:sz w:val="19"/>
              </w:rPr>
              <w:t>Winter 2019</w:t>
            </w:r>
          </w:p>
        </w:tc>
        <w:tc>
          <w:tcPr>
            <w:tcW w:type="dxa" w:w="1560"/>
            <w:vAlign w:val="center"/>
          </w:tcPr>
          <w:p>
            <w:pPr>
              <w:spacing w:after="0"/>
            </w:pPr>
            <w:r/>
            <w:r>
              <w:rPr>
                <w:rFonts w:ascii="Calibri" w:hAnsi="Calibri"/>
                <w:b w:val="0"/>
                <w:sz w:val="19"/>
              </w:rPr>
              <w:t>149</w:t>
            </w:r>
          </w:p>
        </w:tc>
        <w:tc>
          <w:tcPr>
            <w:tcW w:type="dxa" w:w="1560"/>
            <w:vAlign w:val="center"/>
          </w:tcPr>
          <w:p>
            <w:pPr>
              <w:spacing w:after="0"/>
            </w:pPr>
            <w:r/>
            <w:r>
              <w:rPr>
                <w:rFonts w:ascii="Calibri" w:hAnsi="Calibri"/>
                <w:b w:val="0"/>
                <w:sz w:val="19"/>
              </w:rPr>
              <w:t>279</w:t>
            </w:r>
          </w:p>
        </w:tc>
        <w:tc>
          <w:tcPr>
            <w:tcW w:type="dxa" w:w="1560"/>
            <w:vAlign w:val="center"/>
          </w:tcPr>
          <w:p>
            <w:pPr>
              <w:spacing w:after="0"/>
            </w:pPr>
            <w:r/>
            <w:r>
              <w:rPr>
                <w:rFonts w:ascii="Calibri" w:hAnsi="Calibri"/>
                <w:b w:val="0"/>
                <w:sz w:val="19"/>
              </w:rPr>
              <w:t>320</w:t>
            </w:r>
          </w:p>
        </w:tc>
        <w:tc>
          <w:tcPr>
            <w:tcW w:type="dxa" w:w="1560"/>
            <w:vAlign w:val="center"/>
          </w:tcPr>
          <w:p>
            <w:pPr>
              <w:spacing w:after="0"/>
            </w:pPr>
            <w:r/>
            <w:r>
              <w:rPr>
                <w:rFonts w:ascii="Calibri" w:hAnsi="Calibri"/>
                <w:b w:val="0"/>
                <w:sz w:val="19"/>
              </w:rPr>
              <w:t>441</w:t>
            </w:r>
          </w:p>
        </w:tc>
        <w:tc>
          <w:tcPr>
            <w:tcW w:type="dxa" w:w="1560"/>
            <w:vAlign w:val="center"/>
          </w:tcPr>
          <w:p>
            <w:pPr>
              <w:spacing w:after="0"/>
            </w:pPr>
            <w:r/>
            <w:r>
              <w:rPr>
                <w:rFonts w:ascii="Calibri" w:hAnsi="Calibri"/>
                <w:b w:val="0"/>
                <w:sz w:val="19"/>
              </w:rPr>
              <w:t>30.92</w:t>
            </w:r>
          </w:p>
        </w:tc>
      </w:tr>
      <w:tr>
        <w:tc>
          <w:tcPr>
            <w:tcW w:type="dxa" w:w="1560"/>
            <w:vAlign w:val="center"/>
          </w:tcPr>
          <w:p>
            <w:pPr>
              <w:spacing w:after="0"/>
            </w:pPr>
            <w:r/>
            <w:r>
              <w:rPr>
                <w:rFonts w:ascii="Calibri" w:hAnsi="Calibri"/>
                <w:b w:val="0"/>
                <w:sz w:val="19"/>
              </w:rPr>
              <w:t>Fall 2021</w:t>
            </w:r>
          </w:p>
        </w:tc>
        <w:tc>
          <w:tcPr>
            <w:tcW w:type="dxa" w:w="1560"/>
            <w:vAlign w:val="center"/>
          </w:tcPr>
          <w:p>
            <w:pPr>
              <w:spacing w:after="0"/>
            </w:pPr>
            <w:r/>
            <w:r>
              <w:rPr>
                <w:rFonts w:ascii="Calibri" w:hAnsi="Calibri"/>
                <w:b w:val="0"/>
                <w:sz w:val="19"/>
              </w:rPr>
              <w:t>4</w:t>
            </w:r>
          </w:p>
        </w:tc>
        <w:tc>
          <w:tcPr>
            <w:tcW w:type="dxa" w:w="1560"/>
            <w:vAlign w:val="center"/>
          </w:tcPr>
          <w:p>
            <w:pPr>
              <w:spacing w:after="0"/>
            </w:pPr>
            <w:r/>
            <w:r>
              <w:rPr>
                <w:rFonts w:ascii="Calibri" w:hAnsi="Calibri"/>
                <w:b w:val="0"/>
                <w:sz w:val="19"/>
              </w:rPr>
              <w:t>15</w:t>
            </w:r>
          </w:p>
        </w:tc>
        <w:tc>
          <w:tcPr>
            <w:tcW w:type="dxa" w:w="1560"/>
            <w:vAlign w:val="center"/>
          </w:tcPr>
          <w:p>
            <w:pPr>
              <w:spacing w:after="0"/>
            </w:pPr>
            <w:r/>
            <w:r>
              <w:rPr>
                <w:rFonts w:ascii="Calibri" w:hAnsi="Calibri"/>
                <w:b w:val="0"/>
                <w:sz w:val="19"/>
              </w:rPr>
              <w:t>13</w:t>
            </w:r>
          </w:p>
        </w:tc>
        <w:tc>
          <w:tcPr>
            <w:tcW w:type="dxa" w:w="1560"/>
            <w:vAlign w:val="center"/>
          </w:tcPr>
          <w:p>
            <w:pPr>
              <w:spacing w:after="0"/>
            </w:pPr>
            <w:r/>
            <w:r>
              <w:rPr>
                <w:rFonts w:ascii="Calibri" w:hAnsi="Calibri"/>
                <w:b w:val="0"/>
                <w:sz w:val="19"/>
              </w:rPr>
              <w:t>18</w:t>
            </w:r>
          </w:p>
        </w:tc>
        <w:tc>
          <w:tcPr>
            <w:tcW w:type="dxa" w:w="1560"/>
            <w:vAlign w:val="center"/>
          </w:tcPr>
          <w:p>
            <w:pPr>
              <w:spacing w:after="0"/>
            </w:pPr>
            <w:r/>
            <w:r>
              <w:rPr>
                <w:rFonts w:ascii="Calibri" w:hAnsi="Calibri"/>
                <w:b w:val="0"/>
                <w:sz w:val="19"/>
              </w:rPr>
              <w:t>33.68</w:t>
            </w:r>
          </w:p>
        </w:tc>
      </w:tr>
    </w:tbl>
    <w:p/>
    <w:p>
      <w:pPr>
        <w:pStyle w:val="Heading1"/>
      </w:pPr>
      <w:r>
        <w:t>Concordance exploratoire avec les scores SLS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0000"/>
            <w:vAlign w:val="center"/>
          </w:tcPr>
          <w:p>
            <w:pPr>
              <w:spacing w:after="0"/>
            </w:pPr>
            <w:r/>
            <w:r>
              <w:rPr>
                <w:rFonts w:ascii="Calibri" w:hAnsi="Calibri"/>
                <w:b/>
                <w:color w:val="FFFFFF"/>
                <w:sz w:val="19"/>
              </w:rPr>
              <w:t>Cohorte</w:t>
            </w:r>
          </w:p>
        </w:tc>
        <w:tc>
          <w:tcPr>
            <w:tcW w:type="dxa" w:w="2340"/>
            <w:shd w:fill="000000"/>
            <w:vAlign w:val="center"/>
          </w:tcPr>
          <w:p>
            <w:pPr>
              <w:spacing w:after="0"/>
            </w:pPr>
            <w:r/>
            <w:r>
              <w:rPr>
                <w:rFonts w:ascii="Calibri" w:hAnsi="Calibri"/>
                <w:b/>
                <w:color w:val="FFFFFF"/>
                <w:sz w:val="19"/>
              </w:rPr>
              <w:t>Mesure principale</w:t>
            </w:r>
          </w:p>
        </w:tc>
        <w:tc>
          <w:tcPr>
            <w:tcW w:type="dxa" w:w="2340"/>
            <w:shd w:fill="000000"/>
            <w:vAlign w:val="center"/>
          </w:tcPr>
          <w:p>
            <w:pPr>
              <w:spacing w:after="0"/>
            </w:pPr>
            <w:r/>
            <w:r>
              <w:rPr>
                <w:rFonts w:ascii="Calibri" w:hAnsi="Calibri"/>
                <w:b/>
                <w:color w:val="FFFFFF"/>
                <w:sz w:val="19"/>
              </w:rPr>
              <w:t>Résultat</w:t>
            </w:r>
          </w:p>
        </w:tc>
        <w:tc>
          <w:tcPr>
            <w:tcW w:type="dxa" w:w="2340"/>
            <w:shd w:fill="000000"/>
            <w:vAlign w:val="center"/>
          </w:tcPr>
          <w:p>
            <w:pPr>
              <w:spacing w:after="0"/>
            </w:pPr>
            <w:r/>
            <w:r>
              <w:rPr>
                <w:rFonts w:ascii="Calibri" w:hAnsi="Calibri"/>
                <w:b/>
                <w:color w:val="FFFFFF"/>
                <w:sz w:val="19"/>
              </w:rPr>
              <w:t>Portée</w:t>
            </w:r>
          </w:p>
        </w:tc>
      </w:tr>
      <w:tr>
        <w:tc>
          <w:tcPr>
            <w:tcW w:type="dxa" w:w="2340"/>
            <w:vAlign w:val="center"/>
          </w:tcPr>
          <w:p>
            <w:pPr>
              <w:spacing w:after="0"/>
            </w:pPr>
            <w:r/>
            <w:r>
              <w:rPr>
                <w:rFonts w:ascii="Calibri" w:hAnsi="Calibri"/>
                <w:b w:val="0"/>
                <w:sz w:val="19"/>
              </w:rPr>
              <w:t>14 vaches; 3 avec SLS &gt;= 2</w:t>
            </w:r>
          </w:p>
        </w:tc>
        <w:tc>
          <w:tcPr>
            <w:tcW w:type="dxa" w:w="2340"/>
            <w:vAlign w:val="center"/>
          </w:tcPr>
          <w:p>
            <w:pPr>
              <w:spacing w:after="0"/>
            </w:pPr>
            <w:r/>
            <w:r>
              <w:rPr>
                <w:rFonts w:ascii="Calibri" w:hAnsi="Calibri"/>
                <w:b w:val="0"/>
                <w:sz w:val="19"/>
              </w:rPr>
              <w:t>Notifications hybrides dans les 7 jours avant le score</w:t>
            </w:r>
          </w:p>
        </w:tc>
        <w:tc>
          <w:tcPr>
            <w:tcW w:type="dxa" w:w="2340"/>
            <w:vAlign w:val="center"/>
          </w:tcPr>
          <w:p>
            <w:pPr>
              <w:spacing w:after="0"/>
            </w:pPr>
            <w:r/>
            <w:r>
              <w:rPr>
                <w:rFonts w:ascii="Calibri" w:hAnsi="Calibri"/>
                <w:b w:val="0"/>
                <w:sz w:val="19"/>
              </w:rPr>
              <w:t>AUC = 0.924; p = 0.031</w:t>
            </w:r>
          </w:p>
        </w:tc>
        <w:tc>
          <w:tcPr>
            <w:tcW w:type="dxa" w:w="2340"/>
            <w:vAlign w:val="center"/>
          </w:tcPr>
          <w:p>
            <w:pPr>
              <w:spacing w:after="0"/>
            </w:pPr>
            <w:r/>
            <w:r>
              <w:rPr>
                <w:rFonts w:ascii="Calibri" w:hAnsi="Calibri"/>
                <w:b w:val="0"/>
                <w:sz w:val="19"/>
              </w:rPr>
              <w:t>Concordance observationnelle exploratoire</w:t>
            </w:r>
          </w:p>
        </w:tc>
      </w:tr>
    </w:tbl>
    <w:p/>
    <w:p>
      <w:r>
        <w:t>Le SLS n'a servi ni à entraîner la détection ni à fixer les seuils. Le résultat est encourageant, mais la cohorte ne contient que trois vaches SLS &gt;= 2 et le traitement Exercise est confondu avec le statut SLS. Il ne s'agit donc pas d'une validation diagnostique.</w:t>
      </w:r>
    </w:p>
    <w:p>
      <w:pPr>
        <w:spacing w:after="80"/>
        <w:jc w:val="left"/>
      </w:pPr>
      <w:r>
        <w:rPr>
          <w:i w:val="0"/>
          <w:sz w:val="20"/>
        </w:rPr>
        <w:t>Le fichier McGill contient deux séances de notation : une au 15 janvier 2019 et une au 12 mars 2019. Les données IceTag de Winter 2019 débutent le 16 janvier, soit après la première séance : aucune fenêtre capteur ne précède le score de janvier, alors que 54 jours de données précèdent celui du 12 mars. La comparaison retient donc le score du 12 mars, seul compatible avec un protocole de détection.</w:t>
      </w:r>
    </w:p>
    <w:p>
      <w:pPr>
        <w:pStyle w:val="Heading1"/>
      </w:pPr>
      <w:r>
        <w:t>Interprétation</w:t>
      </w:r>
    </w:p>
    <w:p>
      <w:r>
        <w:t>HYPO cible les baisses comportementales persistantes.</w:t>
      </w:r>
    </w:p>
    <w:p>
      <w:r>
        <w:t>Instabilité cible les changements irréguliers ou abrupts de comportement.</w:t>
      </w:r>
    </w:p>
    <w:p>
      <w:r>
        <w:t>Hybride fusionne les deux familles de signaux pour produire la sortie principale de la pipeline actuelle.</w:t>
      </w:r>
    </w:p>
    <w:p>
      <w:r>
        <w:t>Sur McGill, la pipeline actuelle est utile comme annexe comparative, mais elle doit être recalibrée avant d’être substituée au livrable principal.</w:t>
      </w:r>
    </w:p>
    <w:p>
      <w:pPr>
        <w:pStyle w:val="Heading1"/>
      </w:pPr>
      <w:r>
        <w:t>Limite scientifique</w:t>
      </w:r>
    </w:p>
    <w:p>
      <w:r>
        <w:t>Le corpus McGill fournit des scores SLS synchronisés sur une sous-cohorte, mais pas assez de cas positifs pour calculer une sensibilité ou une spécificité robuste. Les alertes doivent donc être décrites comme des signaux comportementaux compatibles avec une perturbation locomotrice et à vérifier.</w:t>
      </w:r>
    </w:p>
    <w:p>
      <w:pPr>
        <w:pStyle w:val="Heading1"/>
      </w:pPr>
      <w:r>
        <w:t>Fichiers inclus dans l’annexe</w:t>
      </w:r>
    </w:p>
    <w:p>
      <w:r>
        <w:t>TABLEAUX_CSV/pipeline_actuelle_comparaison_par_saison.csv</w:t>
      </w:r>
    </w:p>
    <w:p>
      <w:r>
        <w:t>TABLEAUX_CSV/pipeline_actuelle_comparaison_par_vache.csv</w:t>
      </w:r>
    </w:p>
    <w:p>
      <w:r>
        <w:t>TABLEAUX_CSV/pipeline_actuelle_chevauchement_temporel.csv</w:t>
      </w:r>
    </w:p>
    <w:p>
      <w:r>
        <w:t>TABLEAUX_CSV/pipeline_actuelle_validation_sls_synthese.csv</w:t>
      </w:r>
    </w:p>
    <w:p>
      <w:r>
        <w:t>TABLEAUX_CSV/pipeline_actuelle_validation_sls_metriques.csv</w:t>
      </w:r>
    </w:p>
    <w:p>
      <w:r>
        <w:t>TABLEAUX_CSV/pipeline_actuelle_validation_sls_cohorte.csv</w:t>
      </w:r>
    </w:p>
    <w:p>
      <w:r>
        <w:t>TABLEAUX_CSV/pipeline_actuelle_validation_sls_exclusions.csv</w:t>
      </w:r>
    </w:p>
    <w:p>
      <w:r>
        <w:t>ALERTES_HYBRIDES/*_pipeline_actuelle_alertes_hybrides.csv</w:t>
      </w:r>
    </w:p>
    <w:p>
      <w:r>
        <w:t>RESUMES_PAR_VACHE/*_pipeline_actuelle_resume_par_vache.csv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Aliou Barry</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Aliou Barry</dc:creator>
  <cp:keywords/>
  <dc:description/>
  <cp:lastModifiedBy>Aliou Barry</cp:lastModifiedBy>
  <cp:revision>1</cp:revision>
  <dcterms:created xsi:type="dcterms:W3CDTF">2013-12-23T23:15:00Z</dcterms:created>
  <dcterms:modified xsi:type="dcterms:W3CDTF">2013-12-23T23:15:00Z</dcterms:modified>
  <cp:category/>
</cp:coreProperties>
</file>