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阿凡达AI 产品手册 v1.0</w:t>
      </w:r>
    </w:p>
    <w:p>
      <w:pPr>
        <w:pStyle w:val="Heading1"/>
      </w:pPr>
      <w:r>
        <w:t>第一章 产品介绍</w:t>
      </w:r>
    </w:p>
    <w:p>
      <w:r>
        <w:t>阿凡达AI（AvatarAI）是一款面向个体创业者和中小企业的私域AI分身平台，它可以在用户授权下接管微信、视频号等个人渠道进行智能沟通和业务拓展。【Q1 锚点】Q1: 阿凡达AI产品的核心特色是什么？A1: 产品核心特色由三大支柱构成——第一是AI数字分身，基于大模型复刻用户的表达风格和业务知识进行自动沟通；第二是智能对话中枢，支持多通道（微信私聊/群聊/视频号评论）统一的意图识别和内容生成；第三是私域数据运营，自动沉淀客户标签、跟进状态和转化漏斗，生成经营报表。产品的核心理念是：让每一个人都拥有一个懂你、替你工作的AI数字分身，永不失联，不知疲倦。</w:t>
      </w:r>
    </w:p>
    <w:p>
      <w:pPr>
        <w:pStyle w:val="Heading1"/>
      </w:pPr>
      <w:r>
        <w:t>第二章 会员权益</w:t>
      </w:r>
    </w:p>
    <w:p>
      <w:r>
        <w:t>阿凡达AI目前提供三档会员：免费版（基础版）、VIP 专业版、旗舰版。免费版仅提供1个AI分身、每日50次对话额度、不支持知识库上传；【Q2 锚点】Q2: 阿凡达AI VIP 专业版年费是多少？A2: 1999元/年，包含5个AI分身、无限对话、10GB知识库容量、20个第三方工具插件以及高级数据分析看板。旗舰版年费 9999元/年，支持 50 个 AI 分身、企业 SSO、私有化部署选项、专属客服经理以及 100GB 知识库容量，适合 20 人以上的团队使用。所有会员版本均提供 7 天无理由退款保障；学生、教师及公益机构凭有效证件享受 8 折优惠。</w:t>
      </w:r>
    </w:p>
    <w:p>
      <w:pPr>
        <w:pStyle w:val="Heading1"/>
      </w:pPr>
      <w:r>
        <w:t>第三章 团队介绍</w:t>
      </w:r>
    </w:p>
    <w:p>
      <w:r>
        <w:t>阿凡达AI的创始团队拥有深厚的人工智能和社交产品背景。【Q3 锚点】Q3: 阿凡达AI的核心创始团队分别来自哪几家公司？A3: CEO 林辰曾任职于腾讯微信事业部，历任高级产品经理；CTO 苏雪曾任字节跳动 AI Lab 技术负责人，主导过多项大模型落地项目；CPO 陈默曾任阿里巴巴淘宝用户增长团队总监，拥有超过10年的私域增长和会员运营经验。核心团队 80% 以上拥有硕士及以上学历，毕业于清华、北大、中科院、浙大、CMU 等知名院校。公司总部位于深圳，在北京、上海设有分公司，现有全职员工 120 余人，研发团队占比超过 65%。</w:t>
      </w:r>
    </w:p>
    <w:p>
      <w:r>
        <w:t>以上为阿凡达AI产品手册 v1.0 的精简摘要内容。【结尾锚点】END_MARKER_KV_TEST_999777</w:t>
      </w:r>
    </w:p>
    <w:p>
      <w:pPr>
        <w:pStyle w:val="Heading2"/>
      </w:pPr>
      <w:r>
        <w:t>会员套餐速查表（表格）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价格（元/年）</w:t>
            </w:r>
          </w:p>
        </w:tc>
        <w:tc>
          <w:tcPr>
            <w:tcW w:type="dxa" w:w="2880"/>
          </w:tcPr>
          <w:p>
            <w:r>
              <w:t>AI分身数</w:t>
            </w:r>
          </w:p>
        </w:tc>
      </w:tr>
      <w:tr>
        <w:tc>
          <w:tcPr>
            <w:tcW w:type="dxa" w:w="2880"/>
          </w:tcPr>
          <w:p>
            <w:r>
              <w:t>免费版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VIP专业版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旗舰版</w:t>
            </w:r>
          </w:p>
        </w:tc>
        <w:tc>
          <w:tcPr>
            <w:tcW w:type="dxa" w:w="2880"/>
          </w:tcPr>
          <w:p>
            <w:r>
              <w:t>9999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