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pPr>
      <w:r>
        <w:rPr>
          <w:b/>
          <w:bCs/>
        </w:rPr>
        <w:t xml:space="preserve">Bartosz LEWANDOWSKI</w:t>
      </w:r>
    </w:p>
    <w:p>
      <w:pPr>
        <w:spacing w:after="720" w:line="240"/>
      </w:pPr>
      <w:r>
        <w:t xml:space="preserve">Atende S.A.</w:t>
      </w:r>
    </w:p>
    <w:p>
      <w:pPr>
        <w:spacing w:after="160" w:line="240"/>
        <w:jc w:val="center"/>
      </w:pPr>
      <w:r>
        <w:rPr>
          <w:b/>
          <w:bCs/>
        </w:rPr>
        <w:t xml:space="preserve">OCHRONA PRZED WYCIEKIEM DANYCH: ROLA SYSTEMÓW DLP W WIELOWARSTWOWYM MODELU CYBERBEZPIECZEŃSTWA</w:t>
      </w:r>
    </w:p>
    <w:p>
      <w:pPr>
        <w:spacing w:after="600" w:line="240"/>
        <w:jc w:val="center"/>
      </w:pPr>
      <w:r>
        <w:rPr>
          <w:b/>
          <w:bCs/>
        </w:rPr>
        <w:t xml:space="preserve">DATA LEAK PROTECTION: THE ROLE OF DLP SYSTEMS IN A MULTI-LAYERED CYBERSECURITY MODEL</w:t>
      </w:r>
    </w:p>
    <w:p>
      <w:pPr>
        <w:spacing w:after="80" w:line="240"/>
        <w:jc w:val="both"/>
      </w:pPr>
      <w:r>
        <w:rPr>
          <w:b/>
          <w:bCs/>
          <w:sz w:val="20"/>
          <w:szCs w:val="20"/>
        </w:rPr>
        <w:t xml:space="preserve">Abstrakt: </w:t>
      </w:r>
      <w:r>
        <w:rPr>
          <w:sz w:val="20"/>
          <w:szCs w:val="20"/>
        </w:rPr>
        <w:t xml:space="preserve">Artykuł omawia rolę systemów zapobiegania wyciekom danych (DLP) w wielowarstwowym modelu cyberbezpieczeństwa. Ma charakter przeglądowo-koncepcyjny i opiera się na literaturze naukowej, dokumentach NIST, przepisach RODO oraz raportach branżowych. Wyciek danych potraktowano jako skutek łańcucha zdarzeń, w którym błędy użytkowników nakładają się na luki organizacyjne i techniczne. Do opisu tego zjawiska wykorzystano model sera szwajcarskiego J. Reasona. Przedstawiono mechanizmy DLP: klasyfikację informacji, ochronę danych w trzech stanach, analizę treści i kontekstu oraz stopniowanie reakcji. Porównano zakres DLP z systemami EDR, NDR i SIEM. Zaproponowano ujęcie DLP jako uzupełnienia triady widoczności SOC o perspektywę chronionych informacji. Omówiono warunki skutecznego wdrożenia oraz finansowe, prawne i społeczne konsekwencje wycieków. Analiza wskazuje, że DLP skutecznie ogranicza wycieki przypadkowe, ale nie zastępuje innych warstw ochrony i wymaga wsparcia procedur organizacyjnych.</w:t>
      </w:r>
    </w:p>
    <w:p>
      <w:pPr>
        <w:spacing w:after="360" w:line="240"/>
        <w:jc w:val="both"/>
      </w:pPr>
      <w:r>
        <w:rPr>
          <w:b/>
          <w:bCs/>
          <w:sz w:val="20"/>
          <w:szCs w:val="20"/>
        </w:rPr>
        <w:t xml:space="preserve">Słowa kluczowe: </w:t>
      </w:r>
      <w:r>
        <w:rPr>
          <w:sz w:val="20"/>
          <w:szCs w:val="20"/>
        </w:rPr>
        <w:t xml:space="preserve">zapobieganie wyciekom danych, DLP, poufność informacji, wielowarstwowa ochrona, SOC, model sera szwajcarskiego, RODO</w:t>
      </w:r>
    </w:p>
    <w:p>
      <w:pPr>
        <w:spacing w:after="80" w:line="240"/>
        <w:jc w:val="both"/>
      </w:pPr>
      <w:r>
        <w:rPr>
          <w:b/>
          <w:bCs/>
          <w:sz w:val="20"/>
          <w:szCs w:val="20"/>
        </w:rPr>
        <w:t xml:space="preserve">Abstract: </w:t>
      </w:r>
      <w:r>
        <w:rPr>
          <w:sz w:val="20"/>
          <w:szCs w:val="20"/>
        </w:rPr>
        <w:t xml:space="preserve">The article discusses the role of data loss prevention (DLP) systems in a multi-layered cybersecurity model. It is a review and conceptual study based on scientific literature, NIST publications, the GDPR and industry reports. A data leak is treated as the outcome of a chain of events in which user errors coincide with organisational and technical gaps, described with J. Reason's Swiss cheese model. The article presents the mechanisms of DLP: information classification, protection of data in three states, content and context analysis, and graduated response. It compares the scope of DLP with EDR, NDR and SIEM systems and proposes to view DLP as a complement to the SOC visibility triad, adding the perspective of protected information. The conditions for effective deployment and the financial, legal and social consequences of leaks are discussed. The analysis shows that DLP effectively limits accidental leaks, but does not replace other layers of protection and requires the support of organisational procedures.</w:t>
      </w:r>
    </w:p>
    <w:p>
      <w:pPr>
        <w:spacing w:after="360" w:line="240"/>
        <w:jc w:val="both"/>
      </w:pPr>
      <w:r>
        <w:rPr>
          <w:b/>
          <w:bCs/>
          <w:sz w:val="20"/>
          <w:szCs w:val="20"/>
        </w:rPr>
        <w:t xml:space="preserve">Key words: </w:t>
      </w:r>
      <w:r>
        <w:rPr>
          <w:sz w:val="20"/>
          <w:szCs w:val="20"/>
        </w:rPr>
        <w:t xml:space="preserve">data loss prevention, DLP, information confidentiality, defence in depth, SOC, Swiss cheese model, GDPR</w:t>
      </w:r>
    </w:p>
    <w:p>
      <w:pPr>
        <w:pStyle w:val="Heading1"/>
      </w:pPr>
      <w:r>
        <w:t xml:space="preserve">1. </w:t>
      </w:r>
      <w:r>
        <w:t xml:space="preserve">Wprowadzenie</w:t>
      </w:r>
    </w:p>
    <w:p>
      <w:pPr>
        <w:spacing w:after="0" w:before="0" w:line="360"/>
        <w:ind w:firstLine="425"/>
        <w:jc w:val="both"/>
      </w:pPr>
      <w:r>
        <w:t xml:space="preserve">Poufność należy, obok integralności i dostępności, do podstawowych właściwości chronionych w systemach bezpieczeństwa informacji. Jej naruszenie trudno odwrócić. Zniszczone dane można odtworzyć z kopii zapasowej, natomiast danych raz ujawnionych nie da się ponownie uczynić poufnymi.</w:t>
      </w:r>
    </w:p>
    <w:p>
      <w:pPr>
        <w:spacing w:after="0" w:before="0" w:line="360"/>
        <w:ind w:firstLine="425"/>
        <w:jc w:val="both"/>
      </w:pPr>
      <w:r>
        <w:t xml:space="preserve">Organizacje przetwarzają informacje jednocześnie na stacjach roboczych, w usługach chmurowych, w poczcie elektronicznej, w narzędziach do współpracy i w systemach partnerów. Każde z tych miejsc może stać się kanałem wycieku. Zapory sieciowe i systemy kontroli dostępu rozstrzygają, kto i skąd może się połączyć. Nie oceniają jednak, czy konkretna treść powinna opuścić organizację. Tę funkcję pełnią systemy zapobiegania wyciekom danych (ang. </w:t>
      </w:r>
      <w:r>
        <w:rPr>
          <w:i/>
          <w:iCs/>
        </w:rPr>
        <w:t xml:space="preserve">Data Loss Prevention</w:t>
      </w:r>
      <w:r>
        <w:t xml:space="preserve">, DLP), które analizują treść i kontekst operacji na danych</w:t>
      </w:r>
      <w:r>
        <w:rPr>
          <w:rStyle w:val="FootnoteReference"/>
        </w:rPr>
        <w:footnoteReference w:id="1"/>
      </w:r>
      <w:r>
        <w:t xml:space="preserve">.</w:t>
      </w:r>
    </w:p>
    <w:p>
      <w:pPr>
        <w:spacing w:after="0" w:before="0" w:line="360"/>
        <w:ind w:firstLine="425"/>
        <w:jc w:val="both"/>
      </w:pPr>
      <w:r>
        <w:t xml:space="preserve">Celem artykułu jest omówienie roli systemów DLP w ograniczaniu ryzyka wycieku danych oraz określenie ich miejsca w wielowarstwowym modelu cyberbezpieczeństwa. Artykuł ma charakter przeglądowo-koncepcyjny. Opiera się na literaturze naukowej, dokumentach instytucji normalizacyjnych i raportach branżowych. Nie zawiera badań empirycznych, a dobór źródeł nie miał charakteru systematycznego przeglądu literatury.</w:t>
      </w:r>
    </w:p>
    <w:p>
      <w:pPr>
        <w:spacing w:after="0" w:before="0" w:line="360"/>
        <w:ind w:firstLine="425"/>
        <w:jc w:val="both"/>
      </w:pPr>
      <w:r>
        <w:t xml:space="preserve">Rozważania obejmują cztery obszary: źródła i scenariusze zagrożeń, mechanizmy ochrony stosowane w systemach DLP, organizacyjne warunki ich skuteczności oraz konsekwencje naruszeń. Sekcja 2 opisuje zmiany w sposobach przetwarzania informacji, które zwiększają liczbę kanałów wycieku. Sekcja 3 przedstawia obraz zagrożeń wyłaniający się z badań i raportów, wraz z ograniczeniami ich interpretacji. Sekcje 4 i 5 definiują zakres DLP i lokują tę klasę rozwiązań wśród innych narzędzi bezpieczeństwa. Sekcja 6 traktuje wyciek jako skutek łańcucha zdarzeń, a sekcja 7 omawia warunki wdrożenia. Sekcja 8 dotyczy konsekwencji finansowych i społecznych.</w:t>
      </w:r>
    </w:p>
    <w:p>
      <w:pPr>
        <w:pStyle w:val="Heading1"/>
      </w:pPr>
      <w:r>
        <w:t xml:space="preserve">2. </w:t>
      </w:r>
      <w:r>
        <w:t xml:space="preserve">Geneza i współczesne uwarunkowania wycieków danych</w:t>
      </w:r>
    </w:p>
    <w:p>
      <w:pPr>
        <w:spacing w:after="0" w:before="0" w:line="360"/>
        <w:ind w:firstLine="425"/>
        <w:jc w:val="both"/>
      </w:pPr>
      <w:r>
        <w:t xml:space="preserve">Ryzyko wycieku rośnie wraz z liczbą miejsc, w których informacja jest przechowywana i przez które przepływa. Long Cheng, Fang Liu i Danfeng Yao wiążą je z potrzebą gromadzenia i analizowania coraz większych zbiorów danych oraz z intensywnym korzystaniem z nowoczesnych kanałów komunikacji</w:t>
      </w:r>
      <w:r>
        <w:rPr>
          <w:rStyle w:val="FootnoteReference"/>
        </w:rPr>
        <w:footnoteReference w:id="2"/>
      </w:r>
      <w:r>
        <w:t xml:space="preserve">. Autorzy wymieniają wśród możliwych wektorów wycieku m.in. usługi udostępniania plików w chmurze, pocztę elektroniczną, komunikatory, nośniki wymienne, podatności baz danych, kradzież laptopów, utratę kopii zapasowych i serwisy społecznościowe. Lista ta pokazuje, że wyciek nie jest zjawiskiem jednego kanału.</w:t>
      </w:r>
    </w:p>
    <w:p>
      <w:pPr>
        <w:spacing w:after="0" w:before="0" w:line="360"/>
        <w:ind w:firstLine="425"/>
        <w:jc w:val="both"/>
      </w:pPr>
      <w:r>
        <w:t xml:space="preserve">Praca rozproszona przesunęła przetwarzanie danych poza siedzibę organizacji. Ten sam przegląd wskazuje, że współdzielenie danych z partnerami i klientami, współpraca przez chmurę oraz praca poza siedzibą firmy zwiększają prawdopodobieństwo wycieku</w:t>
      </w:r>
      <w:r>
        <w:rPr>
          <w:rStyle w:val="FootnoteReference"/>
        </w:rPr>
        <w:footnoteReference w:id="3"/>
      </w:r>
      <w:r>
        <w:t xml:space="preserve">. Nowsze dane potwierdzają znaczenie podmiotów zewnętrznych. Według komunikatu Verizon dotyczącego raportu DBIR 2026, opartego na danych z 2025 roku, udział strony trzeciej odnotowano w 48% analizowanych naruszeń, a wskaźnik ten wzrósł o 60% względem poprzedniej edycji</w:t>
      </w:r>
      <w:r>
        <w:rPr>
          <w:rStyle w:val="FootnoteReference"/>
        </w:rPr>
        <w:footnoteReference w:id="4"/>
      </w:r>
      <w:r>
        <w:t xml:space="preserve">. Granica organizacji przestaje więc pokrywać się z granicą jej sieci.</w:t>
      </w:r>
    </w:p>
    <w:p>
      <w:pPr>
        <w:spacing w:after="0" w:before="0" w:line="360"/>
        <w:ind w:firstLine="425"/>
        <w:jc w:val="both"/>
      </w:pPr>
      <w:r>
        <w:t xml:space="preserve">Narzędzia generatywnej sztucznej inteligencji tworzą kolejny kanał przepływu informacji. Ten sam komunikat podaje, że korzystanie przez pracowników z niezatwierdzonych narzędzi AI (ang. </w:t>
      </w:r>
      <w:r>
        <w:rPr>
          <w:i/>
          <w:iCs/>
        </w:rPr>
        <w:t xml:space="preserve">shadow AI</w:t>
      </w:r>
      <w:r>
        <w:t xml:space="preserve">) stało się trzecią najczęstszą niezłośliwą aktywnością związaną z wyciekiem danych. Odsetek pracowników często korzystających z takich narzędzi wzrósł w ciągu roku z 15% do 45%</w:t>
      </w:r>
      <w:r>
        <w:rPr>
          <w:rStyle w:val="FootnoteReference"/>
        </w:rPr>
        <w:footnoteReference w:id="5"/>
      </w:r>
      <w:r>
        <w:t xml:space="preserve">. Z perspektywy ochrony informacji wklejenie dokumentu do zewnętrznej usługi jest przekazaniem danych poza kontrolę organizacji, niezależnie od intencji użytkownika. Ta interpretacja wyjaśnia, dlaczego problem dotyczy bardziej polityk ochrony danych niż samej technologii AI.</w:t>
      </w:r>
    </w:p>
    <w:p>
      <w:pPr>
        <w:spacing w:after="0" w:before="0" w:line="360"/>
        <w:ind w:firstLine="425"/>
        <w:jc w:val="both"/>
      </w:pPr>
      <w:r>
        <w:t xml:space="preserve">Wyciek może mieć trzy różne źródła: działanie napastnika, celowe nadużycie uprawnień przez osobę z wewnątrz albo niezamierzony błąd. Cheng i współautorzy porządkują je według dwóch kryteriów: intencji (celowe lub przypadkowe) oraz pochodzenia sprawcy (wewnętrzny lub zewnętrzny)</w:t>
      </w:r>
      <w:r>
        <w:rPr>
          <w:rStyle w:val="FootnoteReference"/>
        </w:rPr>
        <w:footnoteReference w:id="6"/>
      </w:r>
      <w:r>
        <w:t xml:space="preserve">. Do zagrożeń przypadkowych zaliczają m.in. omyłkową publikację, błąd konfiguracji, niewłaściwe szyfrowanie i utratę komputera. Przykładem jest incydent w australijskim Red Cross Blood Service z 2016 roku. Pracownik umieścił wtedy dokumenty z danymi ponad 550 tys. dawców krwi w publicznie dostępnym katalogu serwisu internetowego</w:t>
      </w:r>
      <w:r>
        <w:rPr>
          <w:rStyle w:val="FootnoteReference"/>
        </w:rPr>
        <w:footnoteReference w:id="7"/>
      </w:r>
      <w:r>
        <w:t xml:space="preserve">.</w:t>
      </w:r>
    </w:p>
    <w:p>
      <w:pPr>
        <w:spacing w:after="0" w:before="0" w:line="360"/>
        <w:ind w:firstLine="425"/>
        <w:jc w:val="both"/>
      </w:pPr>
      <w:r>
        <w:t xml:space="preserve">Podział ten ma konsekwencje praktyczne. Napastnik zewnętrzny musi najpierw uzyskać dostęp, osoba z wewnątrz już go ma, a pracownik popełniający błąd nie ukrywa swoich działań. Każdy z tych scenariuszy pozostawia inne ślady i wymaga innego sposobu wykrywania.</w:t>
      </w:r>
    </w:p>
    <w:p>
      <w:pPr>
        <w:pStyle w:val="Heading1"/>
      </w:pPr>
      <w:r>
        <w:t xml:space="preserve">3. </w:t>
      </w:r>
      <w:r>
        <w:t xml:space="preserve">Charakterystyka zagrożeń w świetle badań i raportów</w:t>
      </w:r>
    </w:p>
    <w:p>
      <w:pPr>
        <w:spacing w:after="0" w:before="0" w:line="360"/>
        <w:ind w:firstLine="425"/>
        <w:jc w:val="both"/>
      </w:pPr>
      <w:r>
        <w:t xml:space="preserve">Obraz zagrożeń opiera się w dużej mierze na raportach branżowych, ponieważ organizacje rzadko udostępniają dane o własnych incydentach badaczom akademickim. Dwie najczęściej przywoływane serie to </w:t>
      </w:r>
      <w:r>
        <w:rPr>
          <w:i/>
          <w:iCs/>
        </w:rPr>
        <w:t xml:space="preserve">Data Breach Investigations Report</w:t>
      </w:r>
      <w:r>
        <w:t xml:space="preserve"> (DBIR) firmy Verizon oraz </w:t>
      </w:r>
      <w:r>
        <w:rPr>
          <w:i/>
          <w:iCs/>
        </w:rPr>
        <w:t xml:space="preserve">Cost of a Data Breach</w:t>
      </w:r>
      <w:r>
        <w:t xml:space="preserve"> przygotowywany przez Ponemon Institute na zlecenie IBM. Obie serie mają odmienną metodykę, więc ich wyniki należy czytać osobno.</w:t>
      </w:r>
    </w:p>
    <w:p>
      <w:pPr>
        <w:spacing w:after="0" w:before="0" w:line="360"/>
        <w:ind w:firstLine="425"/>
        <w:jc w:val="both"/>
      </w:pPr>
      <w:r>
        <w:t xml:space="preserve">Raport DBIR 2026 wskazuje wykorzystanie podatności jako najczęstszy punkt wejścia. Odpowiada ono za 31% naruszeń i po raz pierwszy w historii raportu wyprzedziło użycie skradzionych poświadczeń</w:t>
      </w:r>
      <w:r>
        <w:rPr>
          <w:rStyle w:val="FootnoteReference"/>
        </w:rPr>
        <w:footnoteReference w:id="8"/>
      </w:r>
      <w:r>
        <w:t xml:space="preserve">. Ten sam komunikat podaje, że socjotechnika prowadzona kanałami mobilnymi (wiadomości tekstowe, połączenia głosowe) osiąga skuteczność o 40% wyższą niż tradycyjny phishing e-mailowy. Dane te dotyczą głównie ataków zewnętrznych, ale pokazują też, że użytkownik pozostaje częstym celem ataku.</w:t>
      </w:r>
    </w:p>
    <w:p>
      <w:pPr>
        <w:spacing w:after="0" w:before="0" w:line="360"/>
        <w:ind w:firstLine="425"/>
        <w:jc w:val="both"/>
      </w:pPr>
      <w:r>
        <w:t xml:space="preserve">Udział osób z wewnątrz organizacji trudniej oszacować. Cheng i współautorzy przywołują analizę Barbary Hauer obejmującą 1259 incydentów, według której ponad 60% naruszeń spowodowali insiderzy</w:t>
      </w:r>
      <w:r>
        <w:rPr>
          <w:rStyle w:val="FootnoteReference"/>
        </w:rPr>
        <w:footnoteReference w:id="9"/>
      </w:r>
      <w:r>
        <w:t xml:space="preserve">. Zaznaczają jednocześnie, że raporty oparte na różnych zbiorach danych dają różne wyniki. Wspólny pozostaje jedynie wniosek, że znaczna część naruszeń ma źródło wewnątrz organizacji. Dane te pochodzą sprzed 2017 roku i nie powinny być traktowane jako opis obecnej sytuacji.</w:t>
      </w:r>
    </w:p>
    <w:p>
      <w:pPr>
        <w:spacing w:after="0" w:before="0" w:line="360"/>
        <w:ind w:firstLine="425"/>
        <w:jc w:val="both"/>
      </w:pPr>
      <w:r>
        <w:t xml:space="preserve">Czynniki ludzkie, techniczne i organizacyjne występują zwykle łącznie. W ujęciu Chenga i współautorów przypadkowe wycieki wynikają głównie ze słabo zaprojektowanych procesów biznesowych, czyli z braku odpowiednich technologii zapobiegawczych i polityk bezpieczeństwa, albo z przeoczenia ze strony pracownika</w:t>
      </w:r>
      <w:r>
        <w:rPr>
          <w:rStyle w:val="FootnoteReference"/>
        </w:rPr>
        <w:footnoteReference w:id="10"/>
      </w:r>
      <w:r>
        <w:t xml:space="preserve">. Błąd użytkownika jest tu więc objawem, a nie jedyną przyczyną. Podobnie można odczytać dane IBM: tylko 37% organizacji dotkniętych naruszeniem zadeklarowało szyfrowanie danych wrażliwych zarówno w spoczynku, jak i podczas przesyłania</w:t>
      </w:r>
      <w:r>
        <w:rPr>
          <w:rStyle w:val="FootnoteReference"/>
        </w:rPr>
        <w:footnoteReference w:id="11"/>
      </w:r>
      <w:r>
        <w:t xml:space="preserve">.</w:t>
      </w:r>
    </w:p>
    <w:p>
      <w:pPr>
        <w:spacing w:after="0" w:before="0" w:line="360"/>
        <w:ind w:firstLine="425"/>
        <w:jc w:val="both"/>
      </w:pPr>
      <w:r>
        <w:t xml:space="preserve">Typowe scenariusze wycieku obejmują wyprowadzenie danych przez złośliwe oprogramowanie po włamaniu, nadużycie uprawnień lub sabotaż ze strony insidera, błędną konfigurację zasobu, omyłkową publikację oraz utratę urządzenia z niezaszyfrowanymi danymi</w:t>
      </w:r>
      <w:r>
        <w:rPr>
          <w:rStyle w:val="FootnoteReference"/>
        </w:rPr>
        <w:footnoteReference w:id="12"/>
      </w:r>
      <w:r>
        <w:t xml:space="preserve">. Kanałem może być sieć, punkt końcowy, usługa chmurowa albo nośnik fizyczny. Asaf Shabtai, Yuval Elovici i Lior Rokach traktują kanał wycieku jako jedną z osi klasyfikacji rozwiązań DLP, obok źródła wycieku i stanu danych</w:t>
      </w:r>
      <w:r>
        <w:rPr>
          <w:rStyle w:val="FootnoteReference"/>
        </w:rPr>
        <w:footnoteReference w:id="13"/>
      </w:r>
      <w:r>
        <w:t xml:space="preserve">.</w:t>
      </w:r>
    </w:p>
    <w:p>
      <w:pPr>
        <w:pStyle w:val="Heading2"/>
      </w:pPr>
      <w:r>
        <w:t xml:space="preserve">Ograniczenia interpretacji statystyk</w:t>
      </w:r>
    </w:p>
    <w:p>
      <w:pPr>
        <w:spacing w:after="0" w:before="0" w:line="360"/>
        <w:ind w:firstLine="425"/>
        <w:jc w:val="both"/>
      </w:pPr>
      <w:r>
        <w:t xml:space="preserve">Statystyki naruszeń opisują różne zjawiska, choć często używają podobnych słów. DBIR odróżnia incydent, czyli zdarzenie naruszające poufność, integralność lub dostępność zasobu informacyjnego, od naruszenia, czyli incydentu zakończonego potwierdzonym ujawnieniem danych osobie nieuprawnionej</w:t>
      </w:r>
      <w:r>
        <w:rPr>
          <w:rStyle w:val="FootnoteReference"/>
        </w:rPr>
        <w:footnoteReference w:id="14"/>
      </w:r>
      <w:r>
        <w:t xml:space="preserve">. Samo potencjalne narażenie danych nie spełnia tej definicji. Atak DDoS jest więc zwykle incydentem, ale nie naruszeniem.</w:t>
      </w:r>
    </w:p>
    <w:p>
      <w:pPr>
        <w:spacing w:after="0" w:before="0" w:line="360"/>
        <w:ind w:firstLine="425"/>
        <w:jc w:val="both"/>
      </w:pPr>
      <w:r>
        <w:t xml:space="preserve">RODO przyjmuje szersze pojęcie. Naruszenie ochrony danych osobowych obejmuje nie tylko nieuprawnione ujawnienie lub dostęp, ale także przypadkowe lub niezgodne z prawem zniszczenie, utracenie i zmodyfikowanie danych (art. 4 pkt 12)</w:t>
      </w:r>
      <w:r>
        <w:rPr>
          <w:rStyle w:val="FootnoteReference"/>
        </w:rPr>
        <w:footnoteReference w:id="15"/>
      </w:r>
      <w:r>
        <w:t xml:space="preserve">. Zaszyfrowanie danych przez oprogramowanie ransomware bez ich wyprowadzenia może być naruszeniem w rozumieniu RODO, ale nie naruszeniem w rozumieniu DBIR. W tym artykule wyciek oznacza węższą kategorię: przekroczenie przez informację granicy, w której jej przetwarzanie jest uprawnione.</w:t>
      </w:r>
    </w:p>
    <w:p>
      <w:pPr>
        <w:spacing w:after="0" w:before="0" w:line="360"/>
        <w:ind w:firstLine="425"/>
        <w:jc w:val="both"/>
      </w:pPr>
      <w:r>
        <w:t xml:space="preserve">Różnice dotyczą też prób badawczych. DBIR opiera się na danych z dochodzeń prowadzonych przez Verizon i organizacje współpracujące</w:t>
      </w:r>
      <w:r>
        <w:rPr>
          <w:rStyle w:val="FootnoteReference"/>
        </w:rPr>
        <w:footnoteReference w:id="16"/>
      </w:r>
      <w:r>
        <w:t xml:space="preserve">, a nie na losowej próbie organizacji. Edycja raportu IBM z 2026 roku obejmuje 602 organizacje, które doświadczyły naruszenia od marca 2025 do lutego 2026 roku</w:t>
      </w:r>
      <w:r>
        <w:rPr>
          <w:rStyle w:val="FootnoteReference"/>
        </w:rPr>
        <w:footnoteReference w:id="17"/>
      </w:r>
      <w:r>
        <w:t xml:space="preserve">. Odsetki z tych raportów opisują więc zbiór zbadanych naruszeń lub organizacji. Nie mówią o tym, jak często naruszenia dotykają ogółu przedsiębiorstw.</w:t>
      </w:r>
    </w:p>
    <w:p>
      <w:pPr>
        <w:pStyle w:val="Heading1"/>
      </w:pPr>
      <w:r>
        <w:t xml:space="preserve">4. </w:t>
      </w:r>
      <w:r>
        <w:t xml:space="preserve">Istota i zakres ochrony DLP</w:t>
      </w:r>
    </w:p>
    <w:p>
      <w:pPr>
        <w:spacing w:after="0" w:before="0" w:line="360"/>
        <w:ind w:firstLine="425"/>
        <w:jc w:val="both"/>
      </w:pPr>
      <w:r>
        <w:t xml:space="preserve">Termin DLP nie ma jednej, powszechnie przyjętej definicji. Sultan Alneyadi, Elankayer Sithirasenan i Vallipuram Muthukkumarasamy określają systemy DLP jako wyspecjalizowane mechanizmy wykrywania i zapobiegania wyciekom danych poufnych w trakcie ich używania, przesyłania i przechowywania</w:t>
      </w:r>
      <w:r>
        <w:rPr>
          <w:rStyle w:val="FootnoteReference"/>
        </w:rPr>
        <w:footnoteReference w:id="18"/>
      </w:r>
      <w:r>
        <w:t xml:space="preserve">. Zwracają jednocześnie uwagę, że samo pojęcie pozostaje niejednoznaczne, mimo rosnącej liczby produktów komercyjnych. Cheng i współautorzy używają szerszego określenia DLPD (ang. </w:t>
      </w:r>
      <w:r>
        <w:rPr>
          <w:i/>
          <w:iCs/>
        </w:rPr>
        <w:t xml:space="preserve">data leak prevention and detection</w:t>
      </w:r>
      <w:r>
        <w:t xml:space="preserve">) i przypisują tym systemom trzy zadania: identyfikację, monitorowanie i zapobieganie ujawnieniu informacji wrażliwych, zarówno celowemu, jak i przypadkowemu</w:t>
      </w:r>
      <w:r>
        <w:rPr>
          <w:rStyle w:val="FootnoteReference"/>
        </w:rPr>
        <w:footnoteReference w:id="19"/>
      </w:r>
      <w:r>
        <w:t xml:space="preserve">.</w:t>
      </w:r>
    </w:p>
    <w:p>
      <w:pPr>
        <w:spacing w:after="0" w:before="0" w:line="360"/>
        <w:ind w:firstLine="425"/>
        <w:jc w:val="both"/>
      </w:pPr>
      <w:r>
        <w:t xml:space="preserve">DLP różni się od podstawowych zabezpieczeń przedmiotem kontroli. Zapory sieciowe, oprogramowanie antywirusowe, systemy wykrywania włamań, kontrola dostępu i szyfrowanie chronią systemy i kanały. DLP ocenia treść lub kontekst samych danych</w:t>
      </w:r>
      <w:r>
        <w:rPr>
          <w:rStyle w:val="FootnoteReference"/>
        </w:rPr>
        <w:footnoteReference w:id="20"/>
      </w:r>
      <w:r>
        <w:t xml:space="preserve">. Cheng i współautorzy formułują też wymagania wobec praktycznego systemu DLP. Powinien blokować tylko przepływy zawierające informacje wrażliwe i przepuszczać zwykły ruch. Powinien chronić przed nieostrożnymi pracownikami i złośliwymi insiderami. Powinien też utrudnić wyprowadzenie danych nawet wtedy, gdy zawiodą inne zabezpieczenia.</w:t>
      </w:r>
    </w:p>
    <w:p>
      <w:pPr>
        <w:pStyle w:val="Heading2"/>
      </w:pPr>
      <w:r>
        <w:t xml:space="preserve">Identyfikacja i klasyfikacja informacji</w:t>
      </w:r>
    </w:p>
    <w:p>
      <w:pPr>
        <w:spacing w:after="0" w:before="0" w:line="360"/>
        <w:ind w:firstLine="425"/>
        <w:jc w:val="both"/>
      </w:pPr>
      <w:r>
        <w:t xml:space="preserve">System DLP może chronić tylko te informacje, które organizacja wcześniej wskazała. Przewodnik NIST SP 1800-28 rozpoczyna ochronę poufności od identyfikacji zasobów narażonych na naruszenie i ryzyk, które mogą do niego prowadzić. Dopiero potem wprowadza technologie ochronne</w:t>
      </w:r>
      <w:r>
        <w:rPr>
          <w:rStyle w:val="FootnoteReference"/>
        </w:rPr>
        <w:footnoteReference w:id="21"/>
      </w:r>
      <w:r>
        <w:t xml:space="preserve">. Klasyfikacja wyznacza więc zakres działania DLP. Błędy na tym etapie przenoszą się na wszystkie dalsze decyzje systemu: dane pominięte w klasyfikacji pozostają bez ochrony, a dane sklasyfikowane zbyt szeroko generują nadmiar alarmów.</w:t>
      </w:r>
    </w:p>
    <w:p>
      <w:pPr>
        <w:pStyle w:val="Heading2"/>
      </w:pPr>
      <w:r>
        <w:t xml:space="preserve">Dane przechowywane, przesyłane i wykorzystywane</w:t>
      </w:r>
    </w:p>
    <w:p>
      <w:pPr>
        <w:spacing w:after="0" w:before="0" w:line="360"/>
        <w:ind w:firstLine="425"/>
        <w:jc w:val="both"/>
      </w:pPr>
      <w:r>
        <w:t xml:space="preserve">Klasyczny podział obejmuje trzy stany danych. Cheng i współautorzy przypisują każdemu z nich inny cel ochrony</w:t>
      </w:r>
      <w:r>
        <w:rPr>
          <w:rStyle w:val="FootnoteReference"/>
        </w:rPr>
        <w:footnoteReference w:id="22"/>
      </w:r>
      <w:r>
        <w:t xml:space="preserve">. Skanowanie danych przechowywanych na serwerach pozwala znaleźć zasoby narażone na wyciek wewnątrz organizacji. Monitorowanie danych używanych na stacjach roboczych ma zapobiegać niewłaściwemu obchodzeniu się z nimi przez użytkowników. Monitorowanie ruchu sieciowego ma powstrzymać przesłanie danych poufnych poza sieć firmową. Shabtai i współautorzy włączają stan danych do taksonomii rozwiązań, obok źródła wycieku, kanału, sposobu wdrożenia, charakteru działania (zapobiegawczy lub wykrywający) i reakcji na wyciek</w:t>
      </w:r>
      <w:r>
        <w:rPr>
          <w:rStyle w:val="FootnoteReference"/>
        </w:rPr>
        <w:footnoteReference w:id="23"/>
      </w:r>
      <w:r>
        <w:t xml:space="preserve">.</w:t>
      </w:r>
    </w:p>
    <w:p>
      <w:pPr>
        <w:pStyle w:val="Heading2"/>
      </w:pPr>
      <w:r>
        <w:t xml:space="preserve">Analiza treści i kontekstu</w:t>
      </w:r>
    </w:p>
    <w:p>
      <w:pPr>
        <w:spacing w:after="0" w:before="0" w:line="360"/>
        <w:ind w:firstLine="425"/>
        <w:jc w:val="both"/>
      </w:pPr>
      <w:r>
        <w:t xml:space="preserve">Systemy DLP rozpoznają dane chronione na dwa sposoby: przez analizę treści albo przez analizę kontekstu</w:t>
      </w:r>
      <w:r>
        <w:rPr>
          <w:rStyle w:val="FootnoteReference"/>
        </w:rPr>
        <w:footnoteReference w:id="24"/>
      </w:r>
      <w:r>
        <w:t xml:space="preserve">. Pierwsze podejście sprawdza, co zawiera przesyłany lub zapisywany obiekt. Drugie bada metadane i okoliczności operacji: kto ją wykonuje, skąd, dokąd, w jakim czasie i czy odbiega ona od typowego wzorca zachowania. Część rozwiązań łączy obie metody. Tabela 1 zestawia główne techniki wraz z ich ograniczeniami.</w:t>
      </w:r>
    </w:p>
    <w:p>
      <w:pPr>
        <w:keepNext/>
        <w:spacing w:after="120" w:before="240" w:line="240"/>
        <w:jc w:val="center"/>
      </w:pPr>
      <w:r>
        <w:rPr>
          <w:b/>
          <w:bCs/>
          <w:sz w:val="20"/>
          <w:szCs w:val="20"/>
        </w:rPr>
        <w:t xml:space="preserve">Tabela 1. </w:t>
      </w:r>
      <w:r>
        <w:rPr>
          <w:sz w:val="20"/>
          <w:szCs w:val="20"/>
        </w:rPr>
        <w:t xml:space="preserve">Techniki wykrywania w systemach DLP</w:t>
      </w:r>
    </w:p>
    <w:tbl>
      <w:tblPr>
        <w:tblW w:type="dxa" w:w="90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14"/>
        <w:gridCol w:w="1134"/>
        <w:gridCol w:w="3062"/>
        <w:gridCol w:w="3062"/>
      </w:tblGrid>
      <w:tr>
        <w:trPr>
          <w:cantSplit/>
          <w:tblHeader/>
        </w:trPr>
        <w:tc>
          <w:tcPr>
            <w:tcW w:type="dxa" w:w="1814"/>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before="0" w:line="240"/>
            </w:pPr>
            <w:r>
              <w:rPr>
                <w:b/>
                <w:bCs/>
                <w:sz w:val="20"/>
                <w:szCs w:val="20"/>
              </w:rPr>
              <w:t xml:space="preserve">Technika</w:t>
            </w:r>
          </w:p>
        </w:tc>
        <w:tc>
          <w:tcPr>
            <w:tcW w:type="dxa" w:w="1134"/>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before="0" w:line="240"/>
            </w:pPr>
            <w:r>
              <w:rPr>
                <w:b/>
                <w:bCs/>
                <w:sz w:val="20"/>
                <w:szCs w:val="20"/>
              </w:rPr>
              <w:t xml:space="preserve">Rodzaj analizy</w:t>
            </w:r>
          </w:p>
        </w:tc>
        <w:tc>
          <w:tcPr>
            <w:tcW w:type="dxa" w:w="3062"/>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before="0" w:line="240"/>
            </w:pPr>
            <w:r>
              <w:rPr>
                <w:b/>
                <w:bCs/>
                <w:sz w:val="20"/>
                <w:szCs w:val="20"/>
              </w:rPr>
              <w:t xml:space="preserve">Zaleta</w:t>
            </w:r>
          </w:p>
        </w:tc>
        <w:tc>
          <w:tcPr>
            <w:tcW w:type="dxa" w:w="3062"/>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before="0" w:line="240"/>
            </w:pPr>
            <w:r>
              <w:rPr>
                <w:b/>
                <w:bCs/>
                <w:sz w:val="20"/>
                <w:szCs w:val="20"/>
              </w:rPr>
              <w:t xml:space="preserve">Ograniczenie</w:t>
            </w:r>
          </w:p>
        </w:tc>
      </w:tr>
      <w:tr>
        <w:trPr>
          <w:cantSplit/>
        </w:trPr>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Odciski cyfrowe (</w:t>
            </w:r>
            <w:r>
              <w:rPr>
                <w:i/>
                <w:iCs/>
                <w:sz w:val="20"/>
                <w:szCs w:val="20"/>
              </w:rPr>
              <w:t xml:space="preserve">fingerprinting</w:t>
            </w:r>
            <w:r>
              <w:rPr>
                <w:sz w:val="20"/>
                <w:szCs w:val="20"/>
              </w:rPr>
              <w:t xml:space="preserve">)</w:t>
            </w:r>
          </w:p>
        </w:tc>
        <w:tc>
          <w:tcPr>
            <w:tcW w:type="dxa" w:w="11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treść</w:t>
            </w:r>
          </w:p>
        </w:tc>
        <w:tc>
          <w:tcPr>
            <w:tcW w:type="dxa" w:w="30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prosta implementacja, wykrywa całe dokumenty chronione</w:t>
            </w:r>
          </w:p>
        </w:tc>
        <w:tc>
          <w:tcPr>
            <w:tcW w:type="dxa" w:w="30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duża wrażliwość na modyfikację danych</w:t>
            </w:r>
          </w:p>
        </w:tc>
      </w:tr>
      <w:tr>
        <w:trPr>
          <w:cantSplit/>
        </w:trPr>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Wyrażenia regularne</w:t>
            </w:r>
          </w:p>
        </w:tc>
        <w:tc>
          <w:tcPr>
            <w:tcW w:type="dxa" w:w="11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treść</w:t>
            </w:r>
          </w:p>
        </w:tc>
        <w:tc>
          <w:tcPr>
            <w:tcW w:type="dxa" w:w="30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dobre dla danych o przewidywalnym formacie (np. numery kart)</w:t>
            </w:r>
          </w:p>
        </w:tc>
        <w:tc>
          <w:tcPr>
            <w:tcW w:type="dxa" w:w="30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ograniczona ochrona, wysoki odsetek fałszywych alarmów</w:t>
            </w:r>
          </w:p>
        </w:tc>
      </w:tr>
      <w:tr>
        <w:trPr>
          <w:cantSplit/>
        </w:trPr>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Porównywanie zbiorów n-gramów</w:t>
            </w:r>
          </w:p>
        </w:tc>
        <w:tc>
          <w:tcPr>
            <w:tcW w:type="dxa" w:w="11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treść</w:t>
            </w:r>
          </w:p>
        </w:tc>
        <w:tc>
          <w:tcPr>
            <w:tcW w:type="dxa" w:w="30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toleruje drobne zmiany tekstu</w:t>
            </w:r>
          </w:p>
        </w:tc>
        <w:tc>
          <w:tcPr>
            <w:tcW w:type="dxa" w:w="30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duży koszt obliczeń i pamięci</w:t>
            </w:r>
          </w:p>
        </w:tc>
      </w:tr>
      <w:tr>
        <w:trPr>
          <w:cantSplit/>
        </w:trPr>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Uczenie maszynowe</w:t>
            </w:r>
          </w:p>
        </w:tc>
        <w:tc>
          <w:tcPr>
            <w:tcW w:type="dxa" w:w="11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treść lub kontekst</w:t>
            </w:r>
          </w:p>
        </w:tc>
        <w:tc>
          <w:tcPr>
            <w:tcW w:type="dxa" w:w="30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odporność na modyfikacje danych</w:t>
            </w:r>
          </w:p>
        </w:tc>
        <w:tc>
          <w:tcPr>
            <w:tcW w:type="dxa" w:w="30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potrzeba dużych zbiorów uczących, złożoność</w:t>
            </w:r>
          </w:p>
        </w:tc>
      </w:tr>
      <w:tr>
        <w:trPr>
          <w:cantSplit/>
        </w:trPr>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Analiza zachowań</w:t>
            </w:r>
          </w:p>
        </w:tc>
        <w:tc>
          <w:tcPr>
            <w:tcW w:type="dxa" w:w="11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kontekst</w:t>
            </w:r>
          </w:p>
        </w:tc>
        <w:tc>
          <w:tcPr>
            <w:tcW w:type="dxa" w:w="30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ogranicza zagrożenia wewnętrzne</w:t>
            </w:r>
          </w:p>
        </w:tc>
        <w:tc>
          <w:tcPr>
            <w:tcW w:type="dxa" w:w="30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potrzeba dużych zbiorów uczących, wysoki odsetek fałszywych alarmów</w:t>
            </w:r>
          </w:p>
        </w:tc>
      </w:tr>
      <w:tr>
        <w:trPr>
          <w:cantSplit/>
        </w:trPr>
        <w:tc>
          <w:tcPr>
            <w:tcW w:type="dxa" w:w="1814"/>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line="240"/>
            </w:pPr>
            <w:r>
              <w:rPr>
                <w:sz w:val="20"/>
                <w:szCs w:val="20"/>
              </w:rPr>
              <w:t xml:space="preserve">Znakowanie wodne</w:t>
            </w:r>
          </w:p>
        </w:tc>
        <w:tc>
          <w:tcPr>
            <w:tcW w:type="dxa" w:w="1134"/>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line="240"/>
            </w:pPr>
            <w:r>
              <w:rPr>
                <w:sz w:val="20"/>
                <w:szCs w:val="20"/>
              </w:rPr>
              <w:t xml:space="preserve">kontekst</w:t>
            </w:r>
          </w:p>
        </w:tc>
        <w:tc>
          <w:tcPr>
            <w:tcW w:type="dxa" w:w="3062"/>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line="240"/>
            </w:pPr>
            <w:r>
              <w:rPr>
                <w:sz w:val="20"/>
                <w:szCs w:val="20"/>
              </w:rPr>
              <w:t xml:space="preserve">wspiera analizę powykonawczą</w:t>
            </w:r>
          </w:p>
        </w:tc>
        <w:tc>
          <w:tcPr>
            <w:tcW w:type="dxa" w:w="3062"/>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line="240"/>
            </w:pPr>
            <w:r>
              <w:rPr>
                <w:sz w:val="20"/>
                <w:szCs w:val="20"/>
              </w:rPr>
              <w:t xml:space="preserve">podatność na usunięcie lub zniekształcenie znaku</w:t>
            </w:r>
          </w:p>
        </w:tc>
      </w:tr>
    </w:tbl>
    <w:p>
      <w:pPr>
        <w:spacing w:after="240" w:before="80" w:line="240"/>
        <w:jc w:val="center"/>
      </w:pPr>
      <w:r>
        <w:rPr>
          <w:sz w:val="20"/>
          <w:szCs w:val="20"/>
        </w:rPr>
        <w:t xml:space="preserve">Źródło: </w:t>
      </w:r>
      <w:r>
        <w:rPr>
          <w:sz w:val="20"/>
          <w:szCs w:val="20"/>
        </w:rPr>
        <w:t xml:space="preserve">opracowanie własne na podstawie: L. Cheng, F. Liu, D. Yao, </w:t>
      </w:r>
      <w:r>
        <w:rPr>
          <w:i/>
          <w:iCs/>
          <w:sz w:val="20"/>
          <w:szCs w:val="20"/>
        </w:rPr>
        <w:t xml:space="preserve">Enterprise data breach</w:t>
      </w:r>
      <w:r>
        <w:rPr>
          <w:sz w:val="20"/>
          <w:szCs w:val="20"/>
        </w:rPr>
        <w:t xml:space="preserve">.</w:t>
      </w:r>
    </w:p>
    <w:p>
      <w:pPr>
        <w:spacing w:after="0" w:before="0" w:line="360"/>
        <w:ind w:firstLine="425"/>
        <w:jc w:val="both"/>
      </w:pPr>
      <w:r>
        <w:t xml:space="preserve">Analiza treści skutecznie chroni przed przypadkową utratą danych, ale świadomy sprawca może ją ominąć przez zaciemnienie danych</w:t>
      </w:r>
      <w:r>
        <w:rPr>
          <w:rStyle w:val="FootnoteReference"/>
        </w:rPr>
        <w:footnoteReference w:id="25"/>
      </w:r>
      <w:r>
        <w:t xml:space="preserve">. Ruch szyfrowany czyni ją bezużyteczną, jeżeli system nie ma wglądu w treść przed zaszyfrowaniem. Cheng i współautorzy przywołują też ocenę trzech rozwiązań komercyjnych przeprowadzoną przez Davida Gugelmanna i współautorów. Systemy te zapobiegały przypadkowym wyciekom w ruchu WWW, ale insider lub złośliwe oprogramowanie mogły je łatwo obejść. Wynik ten wyznacza realistyczny zakres oczekiwań wobec DLP.</w:t>
      </w:r>
    </w:p>
    <w:p>
      <w:pPr>
        <w:pStyle w:val="Heading2"/>
      </w:pPr>
      <w:r>
        <w:t xml:space="preserve">Monitorowanie, ostrzeganie i blokowanie</w:t>
      </w:r>
    </w:p>
    <w:p>
      <w:pPr>
        <w:spacing w:after="0" w:before="0" w:line="360"/>
        <w:ind w:firstLine="425"/>
        <w:jc w:val="both"/>
      </w:pPr>
      <w:r>
        <w:t xml:space="preserve">Reakcja na wykrytą operację może mieć różną siłę. System może jedynie zarejestrować zdarzenie, ostrzec użytkownika i poprosić o uzasadnienie albo zablokować operację. Shabtai i współautorzy traktują działanie podejmowane po wykryciu wycieku jako odrębną oś klasyfikacji rozwiązań</w:t>
      </w:r>
      <w:r>
        <w:rPr>
          <w:rStyle w:val="FootnoteReference"/>
        </w:rPr>
        <w:footnoteReference w:id="26"/>
      </w:r>
      <w:r>
        <w:t xml:space="preserve">. Dobór reakcji jest decyzją organizacyjną, a nie wyłącznie techniczną. Blokada chroni dane, ale przy błędnej regule zatrzymuje też uprawnioną pracę.</w:t>
      </w:r>
    </w:p>
    <w:p>
      <w:pPr>
        <w:pStyle w:val="Heading1"/>
      </w:pPr>
      <w:r>
        <w:t xml:space="preserve">5. </w:t>
      </w:r>
      <w:r>
        <w:t xml:space="preserve">Miejsce DLP w architekturze cyberbezpieczeństwa</w:t>
      </w:r>
    </w:p>
    <w:p>
      <w:pPr>
        <w:spacing w:after="0" w:before="0" w:line="360"/>
        <w:ind w:firstLine="425"/>
        <w:jc w:val="both"/>
      </w:pPr>
      <w:r>
        <w:t xml:space="preserve">DLP nie zastępuje innych narzędzi wykrywania zagrożeń, ponieważ obserwuje inny obiekt. Systemy EDR (ang. </w:t>
      </w:r>
      <w:r>
        <w:rPr>
          <w:i/>
          <w:iCs/>
        </w:rPr>
        <w:t xml:space="preserve">Endpoint Detection and Response</w:t>
      </w:r>
      <w:r>
        <w:t xml:space="preserve">) analizują telemetrię punktów końcowych: uruchamiane procesy, zmiany w systemie i aktywność na urządzeniu. Systemy NDR (ang. </w:t>
      </w:r>
      <w:r>
        <w:rPr>
          <w:i/>
          <w:iCs/>
        </w:rPr>
        <w:t xml:space="preserve">Network Detection and Response</w:t>
      </w:r>
      <w:r>
        <w:t xml:space="preserve">) analizują ruch sieciowy. Systemy SIEM (ang. </w:t>
      </w:r>
      <w:r>
        <w:rPr>
          <w:i/>
          <w:iCs/>
        </w:rPr>
        <w:t xml:space="preserve">Security Information and Event Management</w:t>
      </w:r>
      <w:r>
        <w:t xml:space="preserve">) gromadzą i korelują dzienniki zdarzeń z wielu źródeł. DLP ocenia natomiast, czy dana operacja dotyczy informacji chronionej i czy jest zgodna z polityką jej przetwarzania. Tabela 2 zestawia te różnice.</w:t>
      </w:r>
    </w:p>
    <w:p>
      <w:pPr>
        <w:keepNext/>
        <w:spacing w:after="120" w:before="240" w:line="240"/>
        <w:jc w:val="center"/>
      </w:pPr>
      <w:r>
        <w:rPr>
          <w:b/>
          <w:bCs/>
          <w:sz w:val="20"/>
          <w:szCs w:val="20"/>
        </w:rPr>
        <w:t xml:space="preserve">Tabela 2. </w:t>
      </w:r>
      <w:r>
        <w:rPr>
          <w:sz w:val="20"/>
          <w:szCs w:val="20"/>
        </w:rPr>
        <w:t xml:space="preserve">Porównanie zakresów działania DLP, EDR, NDR i SIEM</w:t>
      </w:r>
    </w:p>
    <w:tbl>
      <w:tblPr>
        <w:tblW w:type="dxa" w:w="90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77"/>
        <w:gridCol w:w="2665"/>
        <w:gridCol w:w="2665"/>
        <w:gridCol w:w="2665"/>
      </w:tblGrid>
      <w:tr>
        <w:trPr>
          <w:cantSplit/>
          <w:tblHeader/>
        </w:trPr>
        <w:tc>
          <w:tcPr>
            <w:tcW w:type="dxa" w:w="1077"/>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before="0" w:line="240"/>
            </w:pPr>
            <w:r>
              <w:rPr>
                <w:b/>
                <w:bCs/>
                <w:sz w:val="20"/>
                <w:szCs w:val="20"/>
              </w:rPr>
              <w:t xml:space="preserve">Klasa rozwiązań</w:t>
            </w:r>
          </w:p>
        </w:tc>
        <w:tc>
          <w:tcPr>
            <w:tcW w:type="dxa" w:w="2665"/>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before="0" w:line="240"/>
            </w:pPr>
            <w:r>
              <w:rPr>
                <w:b/>
                <w:bCs/>
                <w:sz w:val="20"/>
                <w:szCs w:val="20"/>
              </w:rPr>
              <w:t xml:space="preserve">Przedmiot obserwacji</w:t>
            </w:r>
          </w:p>
        </w:tc>
        <w:tc>
          <w:tcPr>
            <w:tcW w:type="dxa" w:w="2665"/>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before="0" w:line="240"/>
            </w:pPr>
            <w:r>
              <w:rPr>
                <w:b/>
                <w:bCs/>
                <w:sz w:val="20"/>
                <w:szCs w:val="20"/>
              </w:rPr>
              <w:t xml:space="preserve">Pytanie, na które odpowiada</w:t>
            </w:r>
          </w:p>
        </w:tc>
        <w:tc>
          <w:tcPr>
            <w:tcW w:type="dxa" w:w="2665"/>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before="0" w:line="240"/>
            </w:pPr>
            <w:r>
              <w:rPr>
                <w:b/>
                <w:bCs/>
                <w:sz w:val="20"/>
                <w:szCs w:val="20"/>
              </w:rPr>
              <w:t xml:space="preserve">Typowa reakcja</w:t>
            </w:r>
          </w:p>
        </w:tc>
      </w:tr>
      <w:tr>
        <w:trPr>
          <w:cantSplit/>
        </w:trPr>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DLP</w:t>
            </w:r>
          </w:p>
        </w:tc>
        <w:tc>
          <w:tcPr>
            <w:tcW w:type="dxa" w:w="266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treść i kontekst operacji na danych</w:t>
            </w:r>
          </w:p>
        </w:tc>
        <w:tc>
          <w:tcPr>
            <w:tcW w:type="dxa" w:w="266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czy ta informacja może opuścić dozwolony obszar?</w:t>
            </w:r>
          </w:p>
        </w:tc>
        <w:tc>
          <w:tcPr>
            <w:tcW w:type="dxa" w:w="266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rejestracja, ostrzeżenie użytkownika, blokada operacji</w:t>
            </w:r>
          </w:p>
        </w:tc>
      </w:tr>
      <w:tr>
        <w:trPr>
          <w:cantSplit/>
        </w:trPr>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EDR</w:t>
            </w:r>
          </w:p>
        </w:tc>
        <w:tc>
          <w:tcPr>
            <w:tcW w:type="dxa" w:w="266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procesy i zmiany na punkcie końcowym</w:t>
            </w:r>
          </w:p>
        </w:tc>
        <w:tc>
          <w:tcPr>
            <w:tcW w:type="dxa" w:w="266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co dzieje się na urządzeniu?</w:t>
            </w:r>
          </w:p>
        </w:tc>
        <w:tc>
          <w:tcPr>
            <w:tcW w:type="dxa" w:w="266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izolacja hosta, zatrzymanie procesu</w:t>
            </w:r>
          </w:p>
        </w:tc>
      </w:tr>
      <w:tr>
        <w:trPr>
          <w:cantSplit/>
        </w:trPr>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NDR</w:t>
            </w:r>
          </w:p>
        </w:tc>
        <w:tc>
          <w:tcPr>
            <w:tcW w:type="dxa" w:w="266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ruch sieciowy</w:t>
            </w:r>
          </w:p>
        </w:tc>
        <w:tc>
          <w:tcPr>
            <w:tcW w:type="dxa" w:w="266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kto, z kim i w jaki sposób się komunikuje?</w:t>
            </w:r>
          </w:p>
        </w:tc>
        <w:tc>
          <w:tcPr>
            <w:tcW w:type="dxa" w:w="266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sz w:val="20"/>
                <w:szCs w:val="20"/>
              </w:rPr>
              <w:t xml:space="preserve">alarm, wsparcie blokady połączenia</w:t>
            </w:r>
          </w:p>
        </w:tc>
      </w:tr>
      <w:tr>
        <w:trPr>
          <w:cantSplit/>
        </w:trPr>
        <w:tc>
          <w:tcPr>
            <w:tcW w:type="dxa" w:w="1077"/>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line="240"/>
            </w:pPr>
            <w:r>
              <w:rPr>
                <w:sz w:val="20"/>
                <w:szCs w:val="20"/>
              </w:rPr>
              <w:t xml:space="preserve">SIEM</w:t>
            </w:r>
          </w:p>
        </w:tc>
        <w:tc>
          <w:tcPr>
            <w:tcW w:type="dxa" w:w="266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line="240"/>
            </w:pPr>
            <w:r>
              <w:rPr>
                <w:sz w:val="20"/>
                <w:szCs w:val="20"/>
              </w:rPr>
              <w:t xml:space="preserve">dzienniki zdarzeń z wielu systemów</w:t>
            </w:r>
          </w:p>
        </w:tc>
        <w:tc>
          <w:tcPr>
            <w:tcW w:type="dxa" w:w="266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line="240"/>
            </w:pPr>
            <w:r>
              <w:rPr>
                <w:sz w:val="20"/>
                <w:szCs w:val="20"/>
              </w:rPr>
              <w:t xml:space="preserve">jak zdarzenia z różnych źródeł łączą się w całość?</w:t>
            </w:r>
          </w:p>
        </w:tc>
        <w:tc>
          <w:tcPr>
            <w:tcW w:type="dxa" w:w="266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line="240"/>
            </w:pPr>
            <w:r>
              <w:rPr>
                <w:sz w:val="20"/>
                <w:szCs w:val="20"/>
              </w:rPr>
              <w:t xml:space="preserve">korelacja, alarm, przekazanie do obsługi incydentu</w:t>
            </w:r>
          </w:p>
        </w:tc>
      </w:tr>
    </w:tbl>
    <w:p>
      <w:pPr>
        <w:spacing w:after="240" w:before="80" w:line="240"/>
        <w:jc w:val="center"/>
      </w:pPr>
      <w:r>
        <w:rPr>
          <w:sz w:val="20"/>
          <w:szCs w:val="20"/>
        </w:rPr>
        <w:t xml:space="preserve">Źródło: </w:t>
      </w:r>
      <w:r>
        <w:rPr>
          <w:sz w:val="20"/>
          <w:szCs w:val="20"/>
        </w:rPr>
        <w:t xml:space="preserve">opracowanie własne</w:t>
      </w:r>
      <w:r>
        <w:rPr>
          <w:sz w:val="20"/>
          <w:szCs w:val="20"/>
        </w:rPr>
        <w:t xml:space="preserve">.</w:t>
      </w:r>
    </w:p>
    <w:p>
      <w:pPr>
        <w:spacing w:after="0" w:before="0" w:line="360"/>
        <w:ind w:firstLine="425"/>
        <w:jc w:val="both"/>
      </w:pPr>
      <w:r>
        <w:t xml:space="preserve">Koncepcję trzech źródeł widoczności w centrum operacji bezpieczeństwa (SOC) zaproponował w 2015 roku Anton Chuvakin, pracując wtedy jako analityk Gartnera</w:t>
      </w:r>
      <w:r>
        <w:rPr>
          <w:rStyle w:val="FootnoteReference"/>
        </w:rPr>
        <w:footnoteReference w:id="27"/>
      </w:r>
      <w:r>
        <w:t xml:space="preserve">. Pierwotnie nazwał ją „</w:t>
      </w:r>
      <w:r>
        <w:t xml:space="preserve">jądrową triadą SOC”, przez analogię do triady środków przenoszenia broni jądrowej. Trzy filary to dzienniki zdarzeń (SIEM), dane sieciowe (NTA, później NDR) i telemetria punktów końcowych (EDR). Chuvakin zauważył później, że zakresy tych źródeł częściowo się pokrywają. Dopuścił też, że widoczność aplikacji może stać się czwartym filarem.</w:t>
      </w:r>
    </w:p>
    <w:p>
      <w:pPr>
        <w:spacing w:after="0" w:before="0" w:line="360"/>
        <w:ind w:firstLine="425"/>
        <w:jc w:val="both"/>
      </w:pPr>
      <w:r>
        <w:t xml:space="preserve">Triada odpowiada na pytanie, co dzieje się w infrastrukturze. Nie odpowiada wprost na pytanie, których informacji dotyczą obserwowane zdarzenia. Autor proponuje traktować DLP jako uzupełnienie triady o perspektywę chronionych danych. Nie jest to stanowisko Gartnera ani Chuvakina, lecz interpretacja przyjęta w tym artykule. Przykładowo EDR może odnotować uruchomienie programu archiwizującego, a NDR wysyłkę dużego pliku do zewnętrznej usługi. Dopiero DLP może wskazać, że archiwum zawiera dokumenty oznaczone jako poufne.</w:t>
      </w:r>
    </w:p>
    <w:p>
      <w:pPr>
        <w:spacing w:after="0" w:before="0" w:line="360"/>
        <w:ind w:firstLine="425"/>
        <w:jc w:val="both"/>
      </w:pPr>
      <w:r>
        <w:t xml:space="preserve">Wartość tej perspektywy rośnie, gdy zdarzenia DLP trafiają do wspólnego procesu monitorowania. Cheng i współautorzy pokazują wiele punktów, w których można rozmieścić uzupełniające się techniki ochrony: na urządzeniach pracowników, serwerach pocztowych i WWW, styku z siecią zewnętrzną oraz w kontaktach z dostawcami i partnerami</w:t>
      </w:r>
      <w:r>
        <w:rPr>
          <w:rStyle w:val="FootnoteReference"/>
        </w:rPr>
        <w:footnoteReference w:id="28"/>
      </w:r>
      <w:r>
        <w:t xml:space="preserve">. Przewodnik NIST SP 1800-28 również opisuje rozwiązanie przykładowe złożone z wielu współpracujących systemów. Wykrywanie, reagowanie i odtwarzanie po naruszeniu poufności omówiono w nim jako osobny projekt (SP 1800-29)</w:t>
      </w:r>
      <w:r>
        <w:rPr>
          <w:rStyle w:val="FootnoteReference"/>
        </w:rPr>
        <w:footnoteReference w:id="29"/>
      </w:r>
      <w:r>
        <w:t xml:space="preserve">.</w:t>
      </w:r>
    </w:p>
    <w:p>
      <w:pPr>
        <w:spacing w:after="0" w:before="0" w:line="360"/>
        <w:ind w:firstLine="425"/>
        <w:jc w:val="both"/>
      </w:pPr>
      <w:r>
        <w:t xml:space="preserve">Integracja ma znaczenie praktyczne dla obsługi incydentów. Alarm DLP bez kontekstu z EDR lub SIEM trudno ocenić: nie wiadomo, czy użytkownik działał świadomie, czy jego konto zostało przejęte. Z kolei alarm EDR bez informacji o rodzaju danych utrudnia ocenę skutków incydentu. Połączenie obu perspektyw pozwala szybciej ustalić, czy doszło do wycieku i kogo dotyczy.</w:t>
      </w:r>
    </w:p>
    <w:p>
      <w:pPr>
        <w:pStyle w:val="Heading1"/>
      </w:pPr>
      <w:r>
        <w:t xml:space="preserve">6. </w:t>
      </w:r>
      <w:r>
        <w:t xml:space="preserve">Od pojedynczego błędu do wycieku: kontekst i zachowania</w:t>
      </w:r>
    </w:p>
    <w:p>
      <w:pPr>
        <w:spacing w:after="0" w:before="0" w:line="360"/>
        <w:ind w:firstLine="425"/>
        <w:jc w:val="both"/>
      </w:pPr>
      <w:r>
        <w:t xml:space="preserve">Wyciek rzadko wynika z jednego działania. Dobrze to pokazuje analiza naruszenia w sieci handlowej Target z 2013 roku, przedstawiona przez Chenga i współautorów</w:t>
      </w:r>
      <w:r>
        <w:rPr>
          <w:rStyle w:val="FootnoteReference"/>
        </w:rPr>
        <w:footnoteReference w:id="30"/>
      </w:r>
      <w:r>
        <w:t xml:space="preserve">. Napastnicy przejęli najpierw przez phishing system dostawcy usług technicznych, który miał zdalny dostęp do sieci Target. Następnie weszli do sieci firmy, zainstalowali złośliwe oprogramowanie na terminalach płatniczych, przenieśli zebrane dane na przejęte hosty wewnętrzne i wyprowadzili je na zewnątrz. Każdy z tych etapów był osobną okazją do przerwania ataku.</w:t>
      </w:r>
    </w:p>
    <w:p>
      <w:pPr>
        <w:spacing w:after="0" w:before="0" w:line="360"/>
        <w:ind w:firstLine="425"/>
        <w:jc w:val="both"/>
      </w:pPr>
      <w:r>
        <w:t xml:space="preserve">Autorzy wskazują cztery techniczne przyczyny tego naruszenia. Target nie stosował odpowiedniej kontroli dostępu wobec partnerów zewnętrznych. Nie odseparował systemu płatniczego od reszty sieci. Nie zabezpieczył terminali przed instalacją nieautoryzowanego oprogramowania. Miał wdrożone zapory i system zapobiegania włamaniom, ale nie zbadał ostrzeżeń, które te narzędzia wygenerowały</w:t>
      </w:r>
      <w:r>
        <w:rPr>
          <w:rStyle w:val="FootnoteReference"/>
        </w:rPr>
        <w:footnoteReference w:id="31"/>
      </w:r>
      <w:r>
        <w:t xml:space="preserve">. Ostatnia przyczyna jest szczególnie istotna dla tego artykułu. Zabezpieczenie zadziałało, a mimo to bariera zawiodła na poziomie organizacji.</w:t>
      </w:r>
    </w:p>
    <w:p>
      <w:pPr>
        <w:pStyle w:val="Heading2"/>
      </w:pPr>
      <w:r>
        <w:t xml:space="preserve">Model sera szwajcarskiego</w:t>
      </w:r>
    </w:p>
    <w:p>
      <w:pPr>
        <w:spacing w:after="0" w:before="0" w:line="360"/>
        <w:ind w:firstLine="425"/>
        <w:jc w:val="both"/>
      </w:pPr>
      <w:r>
        <w:t xml:space="preserve">Taką sekwencję dobrze opisuje model sera szwajcarskiego Jamesa Reasona</w:t>
      </w:r>
      <w:r>
        <w:rPr>
          <w:rStyle w:val="FootnoteReference"/>
        </w:rPr>
        <w:footnoteReference w:id="32"/>
      </w:r>
      <w:r>
        <w:t xml:space="preserve">. Reason przedstawia zabezpieczenia systemu jako kolejne warstwy. Część z nich jest techniczna (alarmy, bariery fizyczne, automatyczne wyłączenia), część opiera się na ludziach, a część na procedurach i kontroli administracyjnej. Każda warstwa ma luki, które otwierają się, zamykają i przesuwają. Luka w pojedynczej warstwie zwykle nie prowadzi do szkody. Szkoda powstaje dopiero wtedy, gdy luki w wielu warstwach chwilowo się pokryją.</w:t>
      </w:r>
    </w:p>
    <w:p>
      <w:pPr>
        <w:spacing w:after="0" w:before="0" w:line="360"/>
        <w:ind w:firstLine="425"/>
        <w:jc w:val="both"/>
      </w:pPr>
      <w:r>
        <w:t xml:space="preserve">Reason wyróżnia dwa źródła luk. Błędy aktywne to niebezpieczne działania osób mających bezpośredni kontakt z systemem: pomyłki, przeoczenia i naruszenia procedur. Warunki ukryte wynikają z decyzji projektantów, autorów procedur i kierownictwa. Mogą pozostawać niezauważone przez lata, zanim w połączeniu z błędem aktywnym umożliwią wypadek</w:t>
      </w:r>
      <w:r>
        <w:rPr>
          <w:rStyle w:val="FootnoteReference"/>
        </w:rPr>
        <w:footnoteReference w:id="33"/>
      </w:r>
      <w:r>
        <w:t xml:space="preserve">. W odróżnieniu od błędów aktywnych warunki ukryte można wykryć i usunąć, zanim dojdzie do zdarzenia.</w:t>
      </w:r>
    </w:p>
    <w:p>
      <w:pPr>
        <w:spacing w:after="0" w:before="0" w:line="360"/>
        <w:ind w:firstLine="425"/>
        <w:jc w:val="both"/>
      </w:pPr>
      <w:r>
        <w:t xml:space="preserve">Analogia z bezpieczeństwem lotniczym ma tu podstawę w samym tekście Reasona. Autor powołuje się na dane z obsługi technicznej statków powietrznych, według których około 90% uchybień jakościowych uznano za niezawinione. Jako przykłady organizacji wysokiej niezawodności wymienia m.in. ośrodki kontroli ruchu lotniczego</w:t>
      </w:r>
      <w:r>
        <w:rPr>
          <w:rStyle w:val="FootnoteReference"/>
        </w:rPr>
        <w:footnoteReference w:id="34"/>
      </w:r>
      <w:r>
        <w:t xml:space="preserve">. Reason podkreśla też, że skuteczne zarządzanie ryzykiem wymaga kultury zgłaszania błędów, a ta z kolei wymaga zaufania. Wniosek ten przenosi się na ochronę danych: pracownik, który obawia się kary, rzadziej zgłosi omyłkowe wysłanie dokumentu.</w:t>
      </w:r>
    </w:p>
    <w:p>
      <w:pPr>
        <w:spacing w:after="0" w:before="0" w:line="360"/>
        <w:ind w:firstLine="425"/>
        <w:jc w:val="both"/>
      </w:pPr>
      <w:r>
        <w:t xml:space="preserve">W ochronie przed wyciekiem danych błędem aktywnym może być wysłanie pliku do niewłaściwego odbiorcy. Warunkami ukrytymi mogą być nadmierne uprawnienia, brak klasyfikacji danych, nieodseparowane segmenty sieci albo brak procedury analizy alarmów. Przypadek Target pokazuje, że w praktyce występują one łącznie</w:t>
      </w:r>
      <w:r>
        <w:rPr>
          <w:rStyle w:val="FootnoteReference"/>
        </w:rPr>
        <w:footnoteReference w:id="35"/>
      </w:r>
      <w:r>
        <w:t xml:space="preserve">. DLP jest w tym ujęciu jedną z warstw. Zmniejsza prawdopodobieństwo, że luki się pokryją, ale nie eliminuje luk w innych warstwach.</w:t>
      </w:r>
    </w:p>
    <w:p>
      <w:pPr>
        <w:pStyle w:val="Heading2"/>
      </w:pPr>
      <w:r>
        <w:t xml:space="preserve">Analiza kontekstu i zachowań</w:t>
      </w:r>
    </w:p>
    <w:p>
      <w:pPr>
        <w:spacing w:after="0" w:before="0" w:line="360"/>
        <w:ind w:firstLine="425"/>
        <w:jc w:val="both"/>
      </w:pPr>
      <w:r>
        <w:t xml:space="preserve">Reguła oceniająca pojedynczą operację odpowiada na pytanie, czy ta operacja narusza politykę. Nie widzi jednak sekwencji. Rozważmy przykład hipotetyczny: pracownik pobiera w ciągu tygodnia więcej dokumentów niż zwykle, łączy je w archiwa i przesyła do prywatnej usługi chmurowej. Każda z tych czynności osobno może mieścić się w granicach uprawnień. Ryzyko ujawnia dopiero ich układ.</w:t>
      </w:r>
    </w:p>
    <w:p>
      <w:pPr>
        <w:spacing w:after="0" w:before="0" w:line="360"/>
        <w:ind w:firstLine="425"/>
        <w:jc w:val="both"/>
      </w:pPr>
      <w:r>
        <w:t xml:space="preserve">Analiza zachowań próbuje uchwycić takie układy przez modelowanie typowej aktywności użytkownika i wykrywanie odchyleń</w:t>
      </w:r>
      <w:r>
        <w:rPr>
          <w:rStyle w:val="FootnoteReference"/>
        </w:rPr>
        <w:footnoteReference w:id="36"/>
      </w:r>
      <w:r>
        <w:t xml:space="preserve">. Cheng i współautorzy zaznaczają jednak dwa ograniczenia. Pierwszym jest wysoki odsetek fałszywych alarmów, wynikający ze zmienności kontekstu w czasie. Drugim jest luka semantyczna między obserwowalnymi zdarzeniami w systemie a intencjami użytkownika, których nie da się zmierzyć bezpośrednio. Insider działający w granicach swoich uprawnień pozostaje więc trudny do wykrycia.</w:t>
      </w:r>
    </w:p>
    <w:p>
      <w:pPr>
        <w:spacing w:after="0" w:before="0" w:line="360"/>
        <w:ind w:firstLine="425"/>
        <w:jc w:val="both"/>
      </w:pPr>
      <w:r>
        <w:t xml:space="preserve">Reakcja na pojedynczą operację i analiza sekwencji pełnią różne funkcje. Pierwsza zatrzymuje oczywiste naruszenia w chwili ich wystąpienia. Druga wskazuje sytuacje wymagające oceny przez analityka. Autor uważa, że łączenie obu poziomów jest właściwsze niż próba zastąpienia jednego drugim. Blokowanie na podstawie samej analizy zachowań, przy obecnym poziomie fałszywych alarmów, zatrzymywałoby zbyt wiele uprawnionych działań.</w:t>
      </w:r>
    </w:p>
    <w:p>
      <w:pPr>
        <w:pStyle w:val="Heading1"/>
      </w:pPr>
      <w:r>
        <w:t xml:space="preserve">7. </w:t>
      </w:r>
      <w:r>
        <w:t xml:space="preserve">Uwarunkowania wdrożenia i skuteczności DLP</w:t>
      </w:r>
    </w:p>
    <w:p>
      <w:pPr>
        <w:spacing w:after="0" w:before="0" w:line="360"/>
        <w:ind w:firstLine="425"/>
        <w:jc w:val="both"/>
      </w:pPr>
      <w:r>
        <w:t xml:space="preserve">Skuteczność DLP zależy bardziej od przygotowania organizacji niż od wyboru produktu. Ta sekcja ma charakter rekomendacyjny. Przedstawione etapy wynikają z omawianej literatury i z ograniczeń technik opisanych w sekcji 4, ale nie zostały zweryfikowane empirycznie w ramach tego artykułu.</w:t>
      </w:r>
    </w:p>
    <w:p>
      <w:pPr>
        <w:pStyle w:val="Heading2"/>
      </w:pPr>
      <w:r>
        <w:t xml:space="preserve">Zakres ochrony i polityki</w:t>
      </w:r>
    </w:p>
    <w:p>
      <w:pPr>
        <w:spacing w:after="0" w:before="0" w:line="360"/>
        <w:ind w:firstLine="425"/>
        <w:jc w:val="both"/>
      </w:pPr>
      <w:r>
        <w:t xml:space="preserve">Wdrożenie powinno zaczynać się od określenia, które informacje wymagają ochrony i dlaczego. Kolejność przyjęta w przewodniku NIST SP 1800-28 (najpierw identyfikacja zasobów i ryzyk, potem ochrona) dobrze oddaje tę zależność</w:t>
      </w:r>
      <w:r>
        <w:rPr>
          <w:rStyle w:val="FootnoteReference"/>
        </w:rPr>
        <w:footnoteReference w:id="37"/>
      </w:r>
      <w:r>
        <w:t xml:space="preserve">. Organizacja, która nie wie, gdzie przechowuje dane osobowe klientów lub dokumentację projektową, nie napisze dla nich trafnych reguł.</w:t>
      </w:r>
    </w:p>
    <w:p>
      <w:pPr>
        <w:spacing w:after="0" w:before="0" w:line="360"/>
        <w:ind w:firstLine="425"/>
        <w:jc w:val="both"/>
      </w:pPr>
      <w:r>
        <w:t xml:space="preserve">Polityki DLP powinny wynikać z klasyfikacji danych i z procesów biznesowych. Ta sama treść może być przesyłana zasadnie w jednym procesie i niedopuszczalnie w innym. Umowa z kontrahentem wysłana do jego działu prawnego jest operacją rutynową. Ta sama umowa wysłana na prywatny adres pracownika wymaga wyjaśnienia. Reguła oparta wyłącznie na treści nie odróżni tych przypadków. Potrzebny jest kontekst procesu.</w:t>
      </w:r>
    </w:p>
    <w:p>
      <w:pPr>
        <w:pStyle w:val="Heading2"/>
      </w:pPr>
      <w:r>
        <w:t xml:space="preserve">Etapowe uruchamianie</w:t>
      </w:r>
    </w:p>
    <w:p>
      <w:pPr>
        <w:spacing w:after="0" w:before="0" w:line="360"/>
        <w:ind w:firstLine="425"/>
        <w:jc w:val="both"/>
      </w:pPr>
      <w:r>
        <w:t xml:space="preserve">Wdrożenie można podzielić na trzy etapy:</w:t>
      </w:r>
    </w:p>
    <w:p>
      <w:pPr>
        <w:pStyle w:val="ListParagraph"/>
        <w:numPr>
          <w:ilvl w:val="0"/>
          <w:numId w:val="2"/>
        </w:numPr>
        <w:spacing w:after="0" w:before="0" w:line="360"/>
        <w:jc w:val="both"/>
      </w:pPr>
      <w:r>
        <w:t xml:space="preserve">Obserwacja. System rejestruje zdarzenia bez ingerencji w pracę użytkowników. Organizacja poznaje rzeczywiste przepływy danych, które często różnią się od opisanych w procedurach.</w:t>
      </w:r>
    </w:p>
    <w:p>
      <w:pPr>
        <w:pStyle w:val="ListParagraph"/>
        <w:numPr>
          <w:ilvl w:val="0"/>
          <w:numId w:val="2"/>
        </w:numPr>
        <w:spacing w:after="0" w:before="0" w:line="360"/>
        <w:jc w:val="both"/>
      </w:pPr>
      <w:r>
        <w:t xml:space="preserve">Dostrajanie. Reguły są korygowane na podstawie zebranych zdarzeń. Użytkownicy otrzymują ostrzeżenia i mogą podać uzasadnienie operacji.</w:t>
      </w:r>
    </w:p>
    <w:p>
      <w:pPr>
        <w:pStyle w:val="ListParagraph"/>
        <w:numPr>
          <w:ilvl w:val="0"/>
          <w:numId w:val="2"/>
        </w:numPr>
        <w:spacing w:after="0" w:before="0" w:line="360"/>
        <w:jc w:val="both"/>
      </w:pPr>
      <w:r>
        <w:t xml:space="preserve">Blokowanie. Blokady obejmują najpierw reguły o niskim odsetku fałszywych alarmów i dane o najwyższej wrażliwości, a dopiero później kolejne kategorie.</w:t>
      </w:r>
    </w:p>
    <w:p>
      <w:pPr>
        <w:spacing w:after="0" w:before="0" w:line="360"/>
        <w:ind w:firstLine="425"/>
        <w:jc w:val="both"/>
      </w:pPr>
      <w:r>
        <w:t xml:space="preserve">Kolejność ta wynika z ograniczeń technik wykrywania. Wyrażenia regularne i analiza zachowań generują dużo fałszywych alarmów</w:t>
      </w:r>
      <w:r>
        <w:rPr>
          <w:rStyle w:val="FootnoteReference"/>
        </w:rPr>
        <w:footnoteReference w:id="38"/>
      </w:r>
      <w:r>
        <w:t xml:space="preserve">. Natychmiastowe włączenie blokad zatrzymałoby więc część uprawnionej pracy. Użytkownicy zaczęliby wtedy szukać kanałów omijających kontrolę.</w:t>
      </w:r>
    </w:p>
    <w:p>
      <w:pPr>
        <w:pStyle w:val="Heading2"/>
      </w:pPr>
      <w:r>
        <w:t xml:space="preserve">Fałszywe alarmy i wyjątki</w:t>
      </w:r>
    </w:p>
    <w:p>
      <w:pPr>
        <w:spacing w:after="0" w:before="0" w:line="360"/>
        <w:ind w:firstLine="425"/>
        <w:jc w:val="both"/>
      </w:pPr>
      <w:r>
        <w:t xml:space="preserve">Każdy fałszywy alarm kosztuje czas analityka i obniża zaufanie do systemu. Organizacja potrzebuje procedury rozpatrywania alarmów i przyznawania wyjątków. Wyjątek powinien mieć właściciela, uzasadnienie i termin ważności. Wyjątki bezterminowe stają się z czasem warunkami ukrytymi w rozumieniu Reasona</w:t>
      </w:r>
      <w:r>
        <w:rPr>
          <w:rStyle w:val="FootnoteReference"/>
        </w:rPr>
        <w:footnoteReference w:id="39"/>
      </w:r>
      <w:r>
        <w:t xml:space="preserve">: luką, o której wszyscy zapomnieli.</w:t>
      </w:r>
    </w:p>
    <w:p>
      <w:pPr>
        <w:spacing w:after="0" w:before="0" w:line="360"/>
        <w:ind w:firstLine="425"/>
        <w:jc w:val="both"/>
      </w:pPr>
      <w:r>
        <w:t xml:space="preserve">Przypadek Target pokazuje drugą stronę tego problemu. Ostrzeżenia wygenerowane przez narzędzia bezpieczeństwa nie zostały zbadane</w:t>
      </w:r>
      <w:r>
        <w:rPr>
          <w:rStyle w:val="FootnoteReference"/>
        </w:rPr>
        <w:footnoteReference w:id="40"/>
      </w:r>
      <w:r>
        <w:t xml:space="preserve">. System, który generuje alarmy, ale nie ma przypisanej odpowiedzialności za ich obsługę, daje poczucie ochrony bez rzeczywistej ochrony.</w:t>
      </w:r>
    </w:p>
    <w:p>
      <w:pPr>
        <w:pStyle w:val="Heading2"/>
      </w:pPr>
      <w:r>
        <w:t xml:space="preserve">Odpowiedzialność i edukacja</w:t>
      </w:r>
    </w:p>
    <w:p>
      <w:pPr>
        <w:spacing w:after="0" w:before="0" w:line="360"/>
        <w:ind w:firstLine="425"/>
        <w:jc w:val="both"/>
      </w:pPr>
      <w:r>
        <w:t xml:space="preserve">DLP wymaga podziału ról. Właściciele danych określają, co jest chronione. Zespół bezpieczeństwa utrzymuje reguły i obsługuje alarmy. Kierownicy jednostek rozstrzygają o wyjątkach w swoich procesach. Dział prawny lub inspektor ochrony danych ocenia, czy zdarzenie jest naruszeniem wymagającym zgłoszenia.</w:t>
      </w:r>
    </w:p>
    <w:p>
      <w:pPr>
        <w:spacing w:after="0" w:before="0" w:line="360"/>
        <w:ind w:firstLine="425"/>
        <w:jc w:val="both"/>
      </w:pPr>
      <w:r>
        <w:t xml:space="preserve">Edukacja użytkowników ma w tym modelu konkretny cel. Cheng i współautorzy wskazują, że zapobieganie przypadkowym wyciekom wymaga, obok środków technicznych, budowania świadomości bezpieczeństwa w miejscu pracy</w:t>
      </w:r>
      <w:r>
        <w:rPr>
          <w:rStyle w:val="FootnoteReference"/>
        </w:rPr>
        <w:footnoteReference w:id="41"/>
      </w:r>
      <w:r>
        <w:t xml:space="preserve">. Ostrzeżenie wyświetlane w chwili operacji może pełnić funkcję edukacyjną, jeżeli wyjaśnia, dlaczego operacja została zatrzymana. Wsparciem jest kultura zgłaszania błędów opisana przez Reasona</w:t>
      </w:r>
      <w:r>
        <w:rPr>
          <w:rStyle w:val="FootnoteReference"/>
        </w:rPr>
        <w:footnoteReference w:id="42"/>
      </w:r>
      <w:r>
        <w:t xml:space="preserve">.</w:t>
      </w:r>
    </w:p>
    <w:p>
      <w:pPr>
        <w:pStyle w:val="Heading2"/>
      </w:pPr>
      <w:r>
        <w:t xml:space="preserve">Ocena skuteczności i ograniczenia modelu</w:t>
      </w:r>
    </w:p>
    <w:p>
      <w:pPr>
        <w:spacing w:after="0" w:before="0" w:line="360"/>
        <w:ind w:firstLine="425"/>
        <w:jc w:val="both"/>
      </w:pPr>
      <w:r>
        <w:t xml:space="preserve">Skuteczności DLP nie można mierzyć samą liczbą zablokowanych operacji. Duża liczba blokad może oznaczać skuteczną ochronę albo źle dobrane reguły. Autor proponuje kilka miar, które należy ocenić w przyszłych badaniach: odsetek alarmów uznanych po analizie za zasadne, czas od alarmu do decyzji analityka, udział sklasyfikowanych repozytoriów objętych monitorowaniem oraz liczbę aktywnych wyjątków bez wyznaczonego terminu.</w:t>
      </w:r>
    </w:p>
    <w:p>
      <w:pPr>
        <w:spacing w:after="0" w:before="0" w:line="360"/>
        <w:ind w:firstLine="425"/>
        <w:jc w:val="both"/>
      </w:pPr>
      <w:r>
        <w:t xml:space="preserve">Model ochrony oparty na DLP ma też granice. Analiza treści nie radzi sobie z danymi zaszyfrowanymi lub celowo zaciemnionymi. Insider działający w granicach swoich uprawnień może pozostać niewykryty. Brakuje też wspólnych zbiorów danych testowych, co utrudnia porównywanie metod wykrywania</w:t>
      </w:r>
      <w:r>
        <w:rPr>
          <w:rStyle w:val="FootnoteReference"/>
        </w:rPr>
        <w:footnoteReference w:id="43"/>
      </w:r>
      <w:r>
        <w:t xml:space="preserve">. DLP ogranicza więc ryzyko wycieku, ale go nie usuwa.</w:t>
      </w:r>
    </w:p>
    <w:p>
      <w:pPr>
        <w:pStyle w:val="Heading1"/>
      </w:pPr>
      <w:r>
        <w:t xml:space="preserve">8. </w:t>
      </w:r>
      <w:r>
        <w:t xml:space="preserve">Finansowe i społeczne konsekwencje wycieków</w:t>
      </w:r>
    </w:p>
    <w:p>
      <w:pPr>
        <w:spacing w:after="0" w:before="0" w:line="360"/>
        <w:ind w:firstLine="425"/>
        <w:jc w:val="both"/>
      </w:pPr>
      <w:r>
        <w:t xml:space="preserve">Koszt naruszenia obejmuje znacznie więcej niż usunięcie jego technicznej przyczyny. Według raportu IBM z 2026 roku średni globalny koszt naruszenia wyniósł 4,99 mln USD</w:t>
      </w:r>
      <w:r>
        <w:rPr>
          <w:rStyle w:val="FootnoteReference"/>
        </w:rPr>
        <w:footnoteReference w:id="44"/>
      </w:r>
      <w:r>
        <w:t xml:space="preserve">. Wartość ta jest średnią dla 602 organizacji, które doświadczyły naruszenia od marca 2025 do lutego 2026 roku. Nie opisuje typowego kosztu w małej firmie ani w polskich realiach rynkowych. Średnia arytmetyczna jest też wrażliwa na pojedyncze bardzo kosztowne przypadki.</w:t>
      </w:r>
    </w:p>
    <w:p>
      <w:pPr>
        <w:spacing w:after="0" w:before="0" w:line="360"/>
        <w:ind w:firstLine="425"/>
        <w:jc w:val="both"/>
      </w:pPr>
      <w:r>
        <w:t xml:space="preserve">Na koszty składają się obsługa incydentu, analiza powykonawcza, przywracanie działalności, powiadomienia, wsparcie dla poszkodowanych i utracone przychody. Cheng i współautorzy przytaczają dwa przykłady skali takich skutków</w:t>
      </w:r>
      <w:r>
        <w:rPr>
          <w:rStyle w:val="FootnoteReference"/>
        </w:rPr>
        <w:footnoteReference w:id="45"/>
      </w:r>
      <w:r>
        <w:t xml:space="preserve">. Target podał straty związane z naruszeniem z 2013 roku na poziomie 248 mln USD. Po ujawnieniu naruszeń w Yahoo Verizon zapłacił za przejęcie tej firmy o 350 mln USD mniej, niż pierwotnie planowano. Drugi przykład pokazuje, że naruszenie może obniżyć wartość przedsiębiorstwa w transakcji kapitałowej.</w:t>
      </w:r>
    </w:p>
    <w:p>
      <w:pPr>
        <w:pStyle w:val="Heading2"/>
      </w:pPr>
      <w:r>
        <w:t xml:space="preserve">Konsekwencje prawne, kontraktowe i reputacyjne</w:t>
      </w:r>
    </w:p>
    <w:p>
      <w:pPr>
        <w:spacing w:after="0" w:before="0" w:line="360"/>
        <w:ind w:firstLine="425"/>
        <w:jc w:val="both"/>
      </w:pPr>
      <w:r>
        <w:t xml:space="preserve">W Unii Europejskiej wyciek danych osobowych uruchamia obowiązki określone w RODO</w:t>
      </w:r>
      <w:r>
        <w:rPr>
          <w:rStyle w:val="FootnoteReference"/>
        </w:rPr>
        <w:footnoteReference w:id="46"/>
      </w:r>
      <w:r>
        <w:t xml:space="preserve">. Administrator zgłasza naruszenie organowi nadzorczemu bez zbędnej zwłoki, w miarę możliwości nie później niż w ciągu 72 godzin od jego stwierdzenia (art. 33). Jeżeli naruszenie może powodować wysokie ryzyko dla praw lub wolności osób fizycznych, administrator zawiadamia również te osoby (art. 34). Osoba, która poniosła szkodę majątkową lub niemajątkową, ma prawo do odszkodowania (art. 82). Za naruszenie przepisów rozporządzenia grozi administracyjna kara pieniężna, w najwyższym progu do 20 mln EUR lub do 4% całkowitego rocznego światowego obrotu przedsiębiorstwa (art. 83).</w:t>
      </w:r>
    </w:p>
    <w:p>
      <w:pPr>
        <w:spacing w:after="0" w:before="0" w:line="360"/>
        <w:ind w:firstLine="425"/>
        <w:jc w:val="both"/>
      </w:pPr>
      <w:r>
        <w:t xml:space="preserve">Obowiązek zgłoszenia w ciągu 72 godzin łączy się bezpośrednio z tematem artykułu. Administrator musi w krótkim czasie ustalić, jakie dane zostały ujawnione i kogo dotyczą. Zdarzenia rejestrowane przez DLP, powiązane z klasyfikacją danych, mogą skrócić tę analizę. Jest to wniosek autora, a nie wymóg prawny.</w:t>
      </w:r>
    </w:p>
    <w:p>
      <w:pPr>
        <w:spacing w:after="0" w:before="0" w:line="360"/>
        <w:ind w:firstLine="425"/>
        <w:jc w:val="both"/>
      </w:pPr>
      <w:r>
        <w:t xml:space="preserve">Skutki kontraktowe i reputacyjne trudniej zmierzyć. Wyciek danych powierzonych przez kontrahenta może oznaczać naruszenie umowy i utratę klienta. Raport IBM wskazuje, że sprawcy ataków ransomware coraz częściej wywierają presję przez zagrożenie dla reputacji. Najczęściej wykorzystują reputację marki ofiary (41% przypadków), dane pracowników (35%) i własność intelektualną (31%)</w:t>
      </w:r>
      <w:r>
        <w:rPr>
          <w:rStyle w:val="FootnoteReference"/>
        </w:rPr>
        <w:footnoteReference w:id="47"/>
      </w:r>
      <w:r>
        <w:t xml:space="preserve">. Reputacja staje się więc bezpośrednim narzędziem wymuszenia.</w:t>
      </w:r>
    </w:p>
    <w:p>
      <w:pPr>
        <w:pStyle w:val="Heading2"/>
      </w:pPr>
      <w:r>
        <w:t xml:space="preserve">Utrata zaufania i skutki dla osób, których dane ujawniono</w:t>
      </w:r>
    </w:p>
    <w:p>
      <w:pPr>
        <w:spacing w:after="0" w:before="0" w:line="360"/>
        <w:ind w:firstLine="425"/>
        <w:jc w:val="both"/>
      </w:pPr>
      <w:r>
        <w:t xml:space="preserve">Wyciek narusza zaufanie klientów, pracowników i partnerów. Zaufanie odbudowuje się wolniej niż systemy informatyczne, a jego utraty nie oddają w pełni ani koszty obsługi incydentu, ani wysokość kar.</w:t>
      </w:r>
    </w:p>
    <w:p>
      <w:pPr>
        <w:spacing w:after="0" w:before="0" w:line="360"/>
        <w:ind w:firstLine="425"/>
        <w:jc w:val="both"/>
      </w:pPr>
      <w:r>
        <w:t xml:space="preserve">Najpoważniejsze skutki ponoszą osoby, których dane ujawniono. W incydencie australijskiego Red Cross Blood Service ujawnione dokumenty zawierały nie tylko imiona, adresy i daty urodzenia dawców. Obejmowały też informacje o aktywności seksualnej, przyjmowaniu narkotyków i historii chorób</w:t>
      </w:r>
      <w:r>
        <w:rPr>
          <w:rStyle w:val="FootnoteReference"/>
        </w:rPr>
        <w:footnoteReference w:id="48"/>
      </w:r>
      <w:r>
        <w:t xml:space="preserve">. Takiej szkody nie da się naprawić zmianą hasła ani wydaniem nowej karty płatniczej. Ujawnienie danych identyfikacyjnych zwiększa z kolei ryzyko kradzieży tożsamości, która była typem szkody w części największych naruszeń zestawionych przez tych samych autorów.</w:t>
      </w:r>
    </w:p>
    <w:p>
      <w:pPr>
        <w:spacing w:after="0" w:before="0" w:line="360"/>
        <w:ind w:firstLine="425"/>
        <w:jc w:val="both"/>
      </w:pPr>
      <w:r>
        <w:t xml:space="preserve">Ochrona informacji jest więc odpowiedzialnością organizacyjną i społeczną. Organizacja przetwarza dane osób, które zwykle nie mają wpływu na sposób ich zabezpieczenia. Skutki błędów ponoszą w dużej mierze ci, którzy ich nie popełnili.</w:t>
      </w:r>
    </w:p>
    <w:p>
      <w:pPr>
        <w:pStyle w:val="Heading1"/>
      </w:pPr>
      <w:r>
        <w:t xml:space="preserve">9. </w:t>
      </w:r>
      <w:r>
        <w:t xml:space="preserve">Podsumowanie i wnioski</w:t>
      </w:r>
    </w:p>
    <w:p>
      <w:pPr>
        <w:spacing w:after="0" w:before="0" w:line="360"/>
        <w:ind w:firstLine="425"/>
        <w:jc w:val="both"/>
      </w:pPr>
      <w:r>
        <w:t xml:space="preserve">Systemy DLP wnoszą do wielowarstwowej ochrony informacji perspektywę, której nie zapewniają narzędzia triady widoczności SOC. EDR, NDR i SIEM opisują zdarzenia na urządzeniach, w sieci i w dziennikach systemów. DLP wiąże te zdarzenia z konkretnymi informacjami i z zasadami ich przetwarzania. Ta zdolność jest użyteczna zarówno w zapobieganiu wyciekom, jak i w ocenie skutków incydentu.</w:t>
      </w:r>
    </w:p>
    <w:p>
      <w:pPr>
        <w:spacing w:after="0" w:before="0" w:line="360"/>
        <w:ind w:firstLine="425"/>
        <w:jc w:val="both"/>
      </w:pPr>
      <w:r>
        <w:t xml:space="preserve">Przegląd literatury wskazuje jednocześnie wyraźne granice tej klasy rozwiązań. DLP skutecznie ogranicza wycieki przypadkowe, ale świadomy sprawca może obejść analizę treści przez zaciemnienie lub szyfrowanie danych</w:t>
      </w:r>
      <w:r>
        <w:rPr>
          <w:rStyle w:val="FootnoteReference"/>
        </w:rPr>
        <w:footnoteReference w:id="49"/>
      </w:r>
      <w:r>
        <w:t xml:space="preserve">. Analiza zachowań rozszerza możliwości wykrywania zagrożeń wewnętrznych, lecz generuje wiele fałszywych alarmów. DLP należy więc traktować jako jedną z warstw ochrony, a nie jako rozwiązanie samodzielne.</w:t>
      </w:r>
    </w:p>
    <w:p>
      <w:pPr>
        <w:spacing w:after="0" w:before="0" w:line="360"/>
        <w:ind w:firstLine="425"/>
        <w:jc w:val="both"/>
      </w:pPr>
      <w:r>
        <w:t xml:space="preserve">Model sera szwajcarskiego</w:t>
      </w:r>
      <w:r>
        <w:rPr>
          <w:rStyle w:val="FootnoteReference"/>
        </w:rPr>
        <w:footnoteReference w:id="50"/>
      </w:r>
      <w:r>
        <w:t xml:space="preserve"> pozwala ująć wyciek jako skutek nakładania się błędów aktywnych i warunków ukrytych. Z tej perspektywy skuteczność DLP zależy od stanu pozostałych warstw: klasyfikacji danych, zakresu uprawnień, segmentacji sieci i procedur obsługi alarmów. Przypadek Target pokazuje, że zabezpieczenie techniczne może zadziałać prawidłowo, a mimo to nie zapobiec szkodzie, gdy nikt nie reaguje na jego sygnały</w:t>
      </w:r>
      <w:r>
        <w:rPr>
          <w:rStyle w:val="FootnoteReference"/>
        </w:rPr>
        <w:footnoteReference w:id="51"/>
      </w:r>
      <w:r>
        <w:t xml:space="preserve">.</w:t>
      </w:r>
    </w:p>
    <w:p>
      <w:pPr>
        <w:spacing w:after="0" w:before="0" w:line="360"/>
        <w:ind w:firstLine="425"/>
        <w:jc w:val="both"/>
      </w:pPr>
      <w:r>
        <w:t xml:space="preserve">Z przeprowadzonej analizy wynikają trzy wnioski praktyczne:</w:t>
      </w:r>
    </w:p>
    <w:p>
      <w:pPr>
        <w:pStyle w:val="ListParagraph"/>
        <w:numPr>
          <w:ilvl w:val="0"/>
          <w:numId w:val="3"/>
        </w:numPr>
        <w:spacing w:after="0" w:before="0" w:line="360"/>
        <w:jc w:val="both"/>
      </w:pPr>
      <w:r>
        <w:t xml:space="preserve">Projektowanie ochrony powinno zaczynać się od identyfikacji i klasyfikacji danych, a dopiero potem obejmować dobór technologii.</w:t>
      </w:r>
    </w:p>
    <w:p>
      <w:pPr>
        <w:pStyle w:val="ListParagraph"/>
        <w:numPr>
          <w:ilvl w:val="0"/>
          <w:numId w:val="3"/>
        </w:numPr>
        <w:spacing w:after="0" w:before="0" w:line="360"/>
        <w:jc w:val="both"/>
      </w:pPr>
      <w:r>
        <w:t xml:space="preserve">Wdrożenie powinno przebiegać etapami, od obserwacji przez dostrajanie reguł do blokowania. Każdy alarm i każdy wyjątek powinien mieć przypisanego właściciela.</w:t>
      </w:r>
    </w:p>
    <w:p>
      <w:pPr>
        <w:pStyle w:val="ListParagraph"/>
        <w:numPr>
          <w:ilvl w:val="0"/>
          <w:numId w:val="3"/>
        </w:numPr>
        <w:spacing w:after="0" w:before="0" w:line="360"/>
        <w:jc w:val="both"/>
      </w:pPr>
      <w:r>
        <w:t xml:space="preserve">Ocena skuteczności powinna obejmować trafność alarmów, czas reakcji i zakres pokrycia chronionych zasobów, a nie wyłącznie liczbę zablokowanych operacji.</w:t>
      </w:r>
    </w:p>
    <w:p>
      <w:pPr>
        <w:spacing w:after="0" w:before="0" w:line="360"/>
        <w:ind w:firstLine="425"/>
        <w:jc w:val="both"/>
      </w:pPr>
      <w:r>
        <w:t xml:space="preserve">Wnioski te mają charakter koncepcyjny. Wymagają weryfikacji w badaniach empirycznych prowadzonych w organizacjach o różnej wielkości i strukturze.</w:t>
      </w:r>
    </w:p>
    <w:p>
      <w:pPr>
        <w:spacing w:after="0" w:before="0" w:line="360"/>
        <w:ind w:firstLine="425"/>
        <w:jc w:val="both"/>
      </w:pPr>
      <w:r>
        <w:t xml:space="preserve">Kierunki dalszych badań obejmują przede wszystkim wykrywanie wycieków w kanałach szyfrowanych, zastosowanie uczenia głębokiego do wykrywania zagrożeń wewnętrznych oraz DLP świadczone jako usługa chmurowa z zachowaniem poufności analizowanych danych</w:t>
      </w:r>
      <w:r>
        <w:rPr>
          <w:rStyle w:val="FootnoteReference"/>
        </w:rPr>
        <w:footnoteReference w:id="52"/>
      </w:r>
      <w:r>
        <w:t xml:space="preserve">. Potrzebne są też wspólne zbiory danych testowych, bez których trudno rzetelnie porównywać metody wykrywania. Osobnym zagadnieniem jest przepływ informacji do narzędzi generatywnej sztucznej inteligencji, którego skala według danych z 2025 roku szybko rośnie</w:t>
      </w:r>
      <w:r>
        <w:rPr>
          <w:rStyle w:val="FootnoteReference"/>
        </w:rPr>
        <w:footnoteReference w:id="53"/>
      </w:r>
      <w:r>
        <w:t xml:space="preserve">.</w:t>
      </w:r>
    </w:p>
    <w:p>
      <w:pPr>
        <w:pStyle w:val="Heading1"/>
      </w:pPr>
      <w:r>
        <w:t xml:space="preserve">Bibliografia</w:t>
      </w:r>
    </w:p>
    <w:p>
      <w:pPr>
        <w:spacing w:after="60" w:before="0" w:line="240"/>
        <w:ind w:left="142" w:hanging="142"/>
        <w:jc w:val="both"/>
      </w:pPr>
      <w:r>
        <w:rPr>
          <w:sz w:val="20"/>
          <w:szCs w:val="20"/>
        </w:rPr>
        <w:t xml:space="preserve">Alneyadi S., Sithirasenan E., Muthukkumarasamy V., </w:t>
      </w:r>
      <w:r>
        <w:rPr>
          <w:i/>
          <w:iCs/>
          <w:sz w:val="20"/>
          <w:szCs w:val="20"/>
        </w:rPr>
        <w:t xml:space="preserve">A survey on data leakage prevention systems</w:t>
      </w:r>
      <w:r>
        <w:rPr>
          <w:sz w:val="20"/>
          <w:szCs w:val="20"/>
        </w:rPr>
        <w:t xml:space="preserve">, „Journal of Network and Computer Applications” 2016, t. 62, https://doi.org/10.1016/j.jnca.2016.01.008.</w:t>
      </w:r>
    </w:p>
    <w:p>
      <w:pPr>
        <w:spacing w:after="60" w:before="0" w:line="240"/>
        <w:ind w:left="142" w:hanging="142"/>
        <w:jc w:val="both"/>
      </w:pPr>
      <w:r>
        <w:rPr>
          <w:sz w:val="20"/>
          <w:szCs w:val="20"/>
        </w:rPr>
        <w:t xml:space="preserve">Cheng L., Liu F., Yao D., </w:t>
      </w:r>
      <w:r>
        <w:rPr>
          <w:i/>
          <w:iCs/>
          <w:sz w:val="20"/>
          <w:szCs w:val="20"/>
        </w:rPr>
        <w:t xml:space="preserve">Enterprise data breach: causes, challenges, prevention, and future directions</w:t>
      </w:r>
      <w:r>
        <w:rPr>
          <w:sz w:val="20"/>
          <w:szCs w:val="20"/>
        </w:rPr>
        <w:t xml:space="preserve">, „WIREs Data Mining and Knowledge Discovery” 2017, t. 7, nr 5, e1211, https://doi.org/10.1002/widm.1211.</w:t>
      </w:r>
    </w:p>
    <w:p>
      <w:pPr>
        <w:spacing w:after="60" w:before="0" w:line="240"/>
        <w:ind w:left="142" w:hanging="142"/>
        <w:jc w:val="both"/>
      </w:pPr>
      <w:r>
        <w:rPr>
          <w:sz w:val="20"/>
          <w:szCs w:val="20"/>
        </w:rPr>
        <w:t xml:space="preserve">Chuvakin A., </w:t>
      </w:r>
      <w:r>
        <w:rPr>
          <w:i/>
          <w:iCs/>
          <w:sz w:val="20"/>
          <w:szCs w:val="20"/>
        </w:rPr>
        <w:t xml:space="preserve">Back in 2015, while working on a Gartner SOC paper, I coined the concept of „SOC nuclear triad”…</w:t>
      </w:r>
      <w:r>
        <w:rPr>
          <w:sz w:val="20"/>
          <w:szCs w:val="20"/>
        </w:rPr>
        <w:t xml:space="preserve">, </w:t>
      </w:r>
      <w:r>
        <w:rPr>
          <w:i/>
          <w:iCs/>
          <w:sz w:val="20"/>
          <w:szCs w:val="20"/>
        </w:rPr>
        <w:t xml:space="preserve">Anton on Security</w:t>
      </w:r>
      <w:r>
        <w:rPr>
          <w:sz w:val="20"/>
          <w:szCs w:val="20"/>
        </w:rPr>
        <w:t xml:space="preserve"> (Medium), 2020; przedruk: Security Boulevard, wrzesień 2020, https://securityboulevard.com/2020/09/back-in-2015-while-working-on-a-gartner-soc-paper-i-coined-the-concept-of-soc-nuclear-triad/ (dostęp 21.10.2026 r.).</w:t>
      </w:r>
    </w:p>
    <w:p>
      <w:pPr>
        <w:spacing w:after="60" w:before="0" w:line="240"/>
        <w:ind w:left="142" w:hanging="142"/>
        <w:jc w:val="both"/>
      </w:pPr>
      <w:r>
        <w:rPr>
          <w:sz w:val="20"/>
          <w:szCs w:val="20"/>
        </w:rPr>
        <w:t xml:space="preserve">Fisher W. i in., </w:t>
      </w:r>
      <w:r>
        <w:rPr>
          <w:i/>
          <w:iCs/>
          <w:sz w:val="20"/>
          <w:szCs w:val="20"/>
        </w:rPr>
        <w:t xml:space="preserve">Data Confidentiality: Identifying and Protecting Assets Against Data Breaches</w:t>
      </w:r>
      <w:r>
        <w:rPr>
          <w:sz w:val="20"/>
          <w:szCs w:val="20"/>
        </w:rPr>
        <w:t xml:space="preserve">, NIST Special Publication 1800-28, National Institute of Standards and Technology, Gaithersburg, MD 2024, https://doi.org/10.6028/NIST.SP.1800-28.</w:t>
      </w:r>
    </w:p>
    <w:p>
      <w:pPr>
        <w:spacing w:after="60" w:before="0" w:line="240"/>
        <w:ind w:left="142" w:hanging="142"/>
        <w:jc w:val="both"/>
      </w:pPr>
      <w:r>
        <w:rPr>
          <w:sz w:val="20"/>
          <w:szCs w:val="20"/>
        </w:rPr>
        <w:t xml:space="preserve">IBM, </w:t>
      </w:r>
      <w:r>
        <w:rPr>
          <w:i/>
          <w:iCs/>
          <w:sz w:val="20"/>
          <w:szCs w:val="20"/>
        </w:rPr>
        <w:t xml:space="preserve">IBM Study: One in Four Malicious Breaches are AI-Enabled, Costing Companies $6 Million on Average</w:t>
      </w:r>
      <w:r>
        <w:rPr>
          <w:sz w:val="20"/>
          <w:szCs w:val="20"/>
        </w:rPr>
        <w:t xml:space="preserve">, informacja prasowa dotycząca raportu </w:t>
      </w:r>
      <w:r>
        <w:rPr>
          <w:i/>
          <w:iCs/>
          <w:sz w:val="20"/>
          <w:szCs w:val="20"/>
        </w:rPr>
        <w:t xml:space="preserve">Cost of a Data Breach Report 2026</w:t>
      </w:r>
      <w:r>
        <w:rPr>
          <w:sz w:val="20"/>
          <w:szCs w:val="20"/>
        </w:rPr>
        <w:t xml:space="preserve"> (Ponemon Institute, IBM), 29 lipca 2026, https://newsroom.ibm.com/2026-07-29-ibm-study-one-in-four-malicious-breaches-are-ai-enabled,-costing-companies-6-million-on-average (dostęp 21.10.2026 r.).</w:t>
      </w:r>
    </w:p>
    <w:p>
      <w:pPr>
        <w:spacing w:after="60" w:before="0" w:line="240"/>
        <w:ind w:left="142" w:hanging="142"/>
        <w:jc w:val="both"/>
      </w:pPr>
      <w:r>
        <w:rPr>
          <w:sz w:val="20"/>
          <w:szCs w:val="20"/>
        </w:rPr>
        <w:t xml:space="preserve">Reason J., </w:t>
      </w:r>
      <w:r>
        <w:rPr>
          <w:i/>
          <w:iCs/>
          <w:sz w:val="20"/>
          <w:szCs w:val="20"/>
        </w:rPr>
        <w:t xml:space="preserve">Human error: models and management</w:t>
      </w:r>
      <w:r>
        <w:rPr>
          <w:sz w:val="20"/>
          <w:szCs w:val="20"/>
        </w:rPr>
        <w:t xml:space="preserve">, „BMJ” 2000, t. 320, nr 7237, https://doi.org/10.1136/bmj.320.7237.768.</w:t>
      </w:r>
    </w:p>
    <w:p>
      <w:pPr>
        <w:spacing w:after="60" w:before="0" w:line="240"/>
        <w:ind w:left="142" w:hanging="142"/>
        <w:jc w:val="both"/>
      </w:pPr>
      <w:r>
        <w:rPr>
          <w:sz w:val="20"/>
          <w:szCs w:val="20"/>
        </w:rPr>
        <w:t xml:space="preserve">Rozporządzenie Parlamentu Europejskiego i Rady (UE) 2016/679 z dnia 27 kwietnia 2016 r. w sprawie ochrony osób fizycznych w związku z przetwarzaniem danych osobowych i w sprawie swobodnego przepływu takich danych oraz uchylenia dyrektywy 95/46/WE (ogólne rozporządzenie o ochronie danych) (Dz.Urz. UE L 119 z 4.05.2016, s. 1–88).</w:t>
      </w:r>
    </w:p>
    <w:p>
      <w:pPr>
        <w:spacing w:after="60" w:before="0" w:line="240"/>
        <w:ind w:left="142" w:hanging="142"/>
        <w:jc w:val="both"/>
      </w:pPr>
      <w:r>
        <w:rPr>
          <w:sz w:val="20"/>
          <w:szCs w:val="20"/>
        </w:rPr>
        <w:t xml:space="preserve">Shabtai A., Elovici Y., Rokach L., </w:t>
      </w:r>
      <w:r>
        <w:rPr>
          <w:i/>
          <w:iCs/>
          <w:sz w:val="20"/>
          <w:szCs w:val="20"/>
        </w:rPr>
        <w:t xml:space="preserve">A Survey of Data Leakage Detection and Prevention Solutions</w:t>
      </w:r>
      <w:r>
        <w:rPr>
          <w:sz w:val="20"/>
          <w:szCs w:val="20"/>
        </w:rPr>
        <w:t xml:space="preserve">, SpringerBriefs in Computer Science, Springer, New York 2012, https://doi.org/10.1007/978-1-4614-2053-8.</w:t>
      </w:r>
    </w:p>
    <w:p>
      <w:pPr>
        <w:spacing w:after="60" w:before="0" w:line="240"/>
        <w:ind w:left="142" w:hanging="142"/>
        <w:jc w:val="both"/>
      </w:pPr>
      <w:r>
        <w:rPr>
          <w:sz w:val="20"/>
          <w:szCs w:val="20"/>
        </w:rPr>
        <w:t xml:space="preserve">Verizon, </w:t>
      </w:r>
      <w:r>
        <w:rPr>
          <w:i/>
          <w:iCs/>
          <w:sz w:val="20"/>
          <w:szCs w:val="20"/>
        </w:rPr>
        <w:t xml:space="preserve">Vulnerability exploitation top breach entry point, 2026 industry-wide DBIR finds</w:t>
      </w:r>
      <w:r>
        <w:rPr>
          <w:sz w:val="20"/>
          <w:szCs w:val="20"/>
        </w:rPr>
        <w:t xml:space="preserve">, informacja prasowa dotycząca raportu </w:t>
      </w:r>
      <w:r>
        <w:rPr>
          <w:i/>
          <w:iCs/>
          <w:sz w:val="20"/>
          <w:szCs w:val="20"/>
        </w:rPr>
        <w:t xml:space="preserve">2026 Data Breach Investigations Report</w:t>
      </w:r>
      <w:r>
        <w:rPr>
          <w:sz w:val="20"/>
          <w:szCs w:val="20"/>
        </w:rPr>
        <w:t xml:space="preserve">, 19 maja 2026, https://www.verizon.com/about/news/breach-industry-wide-dbir-finds (dostęp 21.10.2026 r.).</w:t>
      </w:r>
    </w:p>
    <w:p>
      <w:pPr>
        <w:spacing w:after="60" w:before="0" w:line="240"/>
        <w:ind w:left="142" w:hanging="142"/>
        <w:jc w:val="both"/>
      </w:pPr>
      <w:r>
        <w:rPr>
          <w:sz w:val="20"/>
          <w:szCs w:val="20"/>
        </w:rPr>
        <w:t xml:space="preserve">Verizon Business, </w:t>
      </w:r>
      <w:r>
        <w:rPr>
          <w:i/>
          <w:iCs/>
          <w:sz w:val="20"/>
          <w:szCs w:val="20"/>
        </w:rPr>
        <w:t xml:space="preserve">2024 Data Breach Investigations Report: Appendices</w:t>
      </w:r>
      <w:r>
        <w:rPr>
          <w:sz w:val="20"/>
          <w:szCs w:val="20"/>
        </w:rPr>
        <w:t xml:space="preserve">, https://verizon.com/business/resources/reports/dbir/2024/appendix (dostęp 21.10.2026 r.).</w:t>
      </w:r>
    </w:p>
    <w:p>
      <w:pPr>
        <w:pStyle w:val="Heading1"/>
      </w:pPr>
      <w:r>
        <w:t xml:space="preserve">Nota biograficzna</w:t>
      </w:r>
    </w:p>
    <w:p>
      <w:pPr>
        <w:spacing w:after="0" w:before="0" w:line="240"/>
        <w:ind w:firstLine="425"/>
        <w:jc w:val="both"/>
      </w:pPr>
      <w:r>
        <w:rPr>
          <w:b/>
          <w:bCs/>
          <w:sz w:val="20"/>
          <w:szCs w:val="20"/>
        </w:rPr>
        <w:t xml:space="preserve">Bartosz Lewandowski</w:t>
      </w:r>
      <w:r>
        <w:rPr>
          <w:sz w:val="20"/>
          <w:szCs w:val="20"/>
        </w:rPr>
        <w:t xml:space="preserve"> – stopień/tytuł zawodowy lub naukowy, Atende S.A. Najważniejsze publikacje: … Zainteresowania badawcze: …</w:t>
      </w:r>
    </w:p>
    <w:sectPr>
      <w:footerReference w:type="default" r:id="rId6"/>
      <w:pgSz w:w="11906" w:h="16838" w:orient="portrait"/>
      <w:pgMar w:top="1417" w:right="1417" w:bottom="141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 </w:t>
      </w:r>
      <w:r>
        <w:t xml:space="preserve">S. Alneyadi, E. Sithirasenan, V. Muthukkumarasamy, </w:t>
      </w:r>
      <w:r>
        <w:rPr>
          <w:i/>
          <w:iCs/>
        </w:rPr>
        <w:t xml:space="preserve">A survey on data leakage prevention systems</w:t>
      </w:r>
      <w:r>
        <w:t xml:space="preserve">, „Journal of Network and Computer Applications” 2016, t. 62, https://doi.org/10.1016/j.jnca.2016.01.008.</w:t>
      </w:r>
    </w:p>
  </w:footnote>
  <w:footnote w:id="2">
    <w:p>
      <w:pPr>
        <w:pStyle w:val="FootnoteText"/>
      </w:pPr>
      <w:r>
        <w:rPr>
          <w:rStyle w:val="FootnoteReference"/>
        </w:rPr>
        <w:footnoteRef/>
      </w:r>
      <w:r>
        <w:t xml:space="preserve"> </w:t>
      </w:r>
      <w:r>
        <w:t xml:space="preserve">L. Cheng, F. Liu, D. Yao, </w:t>
      </w:r>
      <w:r>
        <w:rPr>
          <w:i/>
          <w:iCs/>
        </w:rPr>
        <w:t xml:space="preserve">Enterprise data breach: causes, challenges, prevention, and future directions</w:t>
      </w:r>
      <w:r>
        <w:t xml:space="preserve">, „WIREs Data Mining and Knowledge Discovery” 2017, t. 7, nr 5, e1211, https://doi.org/10.1002/widm.1211.</w:t>
      </w:r>
    </w:p>
  </w:footnote>
  <w:footnote w:id="3">
    <w:p>
      <w:pPr>
        <w:pStyle w:val="FootnoteText"/>
      </w:pPr>
      <w:r>
        <w:rPr>
          <w:rStyle w:val="FootnoteReference"/>
        </w:rPr>
        <w:footnoteRef/>
      </w:r>
      <w:r>
        <w:t xml:space="preserve"> </w:t>
      </w:r>
      <w:r>
        <w:t xml:space="preserve">Tamże.</w:t>
      </w:r>
    </w:p>
  </w:footnote>
  <w:footnote w:id="4">
    <w:p>
      <w:pPr>
        <w:pStyle w:val="FootnoteText"/>
      </w:pPr>
      <w:r>
        <w:rPr>
          <w:rStyle w:val="FootnoteReference"/>
        </w:rPr>
        <w:footnoteRef/>
      </w:r>
      <w:r>
        <w:t xml:space="preserve"> </w:t>
      </w:r>
      <w:r>
        <w:t xml:space="preserve">Verizon, </w:t>
      </w:r>
      <w:r>
        <w:rPr>
          <w:i/>
          <w:iCs/>
        </w:rPr>
        <w:t xml:space="preserve">Vulnerability exploitation top breach entry point, 2026 industry-wide DBIR finds</w:t>
      </w:r>
      <w:r>
        <w:t xml:space="preserve">, informacja prasowa dotycząca raportu </w:t>
      </w:r>
      <w:r>
        <w:rPr>
          <w:i/>
          <w:iCs/>
        </w:rPr>
        <w:t xml:space="preserve">2026 Data Breach Investigations Report</w:t>
      </w:r>
      <w:r>
        <w:t xml:space="preserve">, 19 maja 2026, https://www.verizon.com/about/news/breach-industry-wide-dbir-finds (dostęp 21.10.2026 r.).</w:t>
      </w:r>
    </w:p>
  </w:footnote>
  <w:footnote w:id="5">
    <w:p>
      <w:pPr>
        <w:pStyle w:val="FootnoteText"/>
      </w:pPr>
      <w:r>
        <w:rPr>
          <w:rStyle w:val="FootnoteReference"/>
        </w:rPr>
        <w:footnoteRef/>
      </w:r>
      <w:r>
        <w:t xml:space="preserve"> </w:t>
      </w:r>
      <w:r>
        <w:t xml:space="preserve">Tamże.</w:t>
      </w:r>
    </w:p>
  </w:footnote>
  <w:footnote w:id="6">
    <w:p>
      <w:pPr>
        <w:pStyle w:val="FootnoteText"/>
      </w:pPr>
      <w:r>
        <w:rPr>
          <w:rStyle w:val="FootnoteReference"/>
        </w:rPr>
        <w:footnoteRef/>
      </w:r>
      <w:r>
        <w:t xml:space="preserve"> </w:t>
      </w:r>
      <w:r>
        <w:t xml:space="preserve">L. Cheng, F. Liu, D. Yao, </w:t>
      </w:r>
      <w:r>
        <w:rPr>
          <w:i/>
          <w:iCs/>
        </w:rPr>
        <w:t xml:space="preserve">Enterprise data breach</w:t>
      </w:r>
      <w:r>
        <w:t xml:space="preserve">, dz. cyt.</w:t>
      </w:r>
    </w:p>
  </w:footnote>
  <w:footnote w:id="7">
    <w:p>
      <w:pPr>
        <w:pStyle w:val="FootnoteText"/>
      </w:pPr>
      <w:r>
        <w:rPr>
          <w:rStyle w:val="FootnoteReference"/>
        </w:rPr>
        <w:footnoteRef/>
      </w:r>
      <w:r>
        <w:t xml:space="preserve"> </w:t>
      </w:r>
      <w:r>
        <w:t xml:space="preserve">Tamże.</w:t>
      </w:r>
    </w:p>
  </w:footnote>
  <w:footnote w:id="8">
    <w:p>
      <w:pPr>
        <w:pStyle w:val="FootnoteText"/>
      </w:pPr>
      <w:r>
        <w:rPr>
          <w:rStyle w:val="FootnoteReference"/>
        </w:rPr>
        <w:footnoteRef/>
      </w:r>
      <w:r>
        <w:t xml:space="preserve"> </w:t>
      </w:r>
      <w:r>
        <w:t xml:space="preserve">Verizon, </w:t>
      </w:r>
      <w:r>
        <w:rPr>
          <w:i/>
          <w:iCs/>
        </w:rPr>
        <w:t xml:space="preserve">Vulnerability exploitation top breach entry point</w:t>
      </w:r>
      <w:r>
        <w:t xml:space="preserve">, dz. cyt.</w:t>
      </w:r>
    </w:p>
  </w:footnote>
  <w:footnote w:id="9">
    <w:p>
      <w:pPr>
        <w:pStyle w:val="FootnoteText"/>
      </w:pPr>
      <w:r>
        <w:rPr>
          <w:rStyle w:val="FootnoteReference"/>
        </w:rPr>
        <w:footnoteRef/>
      </w:r>
      <w:r>
        <w:t xml:space="preserve"> </w:t>
      </w:r>
      <w:r>
        <w:t xml:space="preserve">L. Cheng, F. Liu, D. Yao, </w:t>
      </w:r>
      <w:r>
        <w:rPr>
          <w:i/>
          <w:iCs/>
        </w:rPr>
        <w:t xml:space="preserve">Enterprise data breach</w:t>
      </w:r>
      <w:r>
        <w:t xml:space="preserve">, dz. cyt.</w:t>
      </w:r>
    </w:p>
  </w:footnote>
  <w:footnote w:id="10">
    <w:p>
      <w:pPr>
        <w:pStyle w:val="FootnoteText"/>
      </w:pPr>
      <w:r>
        <w:rPr>
          <w:rStyle w:val="FootnoteReference"/>
        </w:rPr>
        <w:footnoteRef/>
      </w:r>
      <w:r>
        <w:t xml:space="preserve"> </w:t>
      </w:r>
      <w:r>
        <w:t xml:space="preserve">Tamże.</w:t>
      </w:r>
    </w:p>
  </w:footnote>
  <w:footnote w:id="11">
    <w:p>
      <w:pPr>
        <w:pStyle w:val="FootnoteText"/>
      </w:pPr>
      <w:r>
        <w:rPr>
          <w:rStyle w:val="FootnoteReference"/>
        </w:rPr>
        <w:footnoteRef/>
      </w:r>
      <w:r>
        <w:t xml:space="preserve"> </w:t>
      </w:r>
      <w:r>
        <w:t xml:space="preserve">IBM, </w:t>
      </w:r>
      <w:r>
        <w:rPr>
          <w:i/>
          <w:iCs/>
        </w:rPr>
        <w:t xml:space="preserve">IBM Study: One in Four Malicious Breaches are AI-Enabled, Costing Companies $6 Million on Average</w:t>
      </w:r>
      <w:r>
        <w:t xml:space="preserve">, informacja prasowa dotycząca raportu </w:t>
      </w:r>
      <w:r>
        <w:rPr>
          <w:i/>
          <w:iCs/>
        </w:rPr>
        <w:t xml:space="preserve">Cost of a Data Breach Report 2026</w:t>
      </w:r>
      <w:r>
        <w:t xml:space="preserve"> (Ponemon Institute, IBM), 29 lipca 2026, https://newsroom.ibm.com/2026-07-29-ibm-study-one-in-four-malicious-breaches-are-ai-enabled,-costing-companies-6-million-on-average (dostęp 21.10.2026 r.).</w:t>
      </w:r>
    </w:p>
  </w:footnote>
  <w:footnote w:id="12">
    <w:p>
      <w:pPr>
        <w:pStyle w:val="FootnoteText"/>
      </w:pPr>
      <w:r>
        <w:rPr>
          <w:rStyle w:val="FootnoteReference"/>
        </w:rPr>
        <w:footnoteRef/>
      </w:r>
      <w:r>
        <w:t xml:space="preserve"> </w:t>
      </w:r>
      <w:r>
        <w:t xml:space="preserve">L. Cheng, F. Liu, D. Yao, </w:t>
      </w:r>
      <w:r>
        <w:rPr>
          <w:i/>
          <w:iCs/>
        </w:rPr>
        <w:t xml:space="preserve">Enterprise data breach</w:t>
      </w:r>
      <w:r>
        <w:t xml:space="preserve">, dz. cyt.</w:t>
      </w:r>
    </w:p>
  </w:footnote>
  <w:footnote w:id="13">
    <w:p>
      <w:pPr>
        <w:pStyle w:val="FootnoteText"/>
      </w:pPr>
      <w:r>
        <w:rPr>
          <w:rStyle w:val="FootnoteReference"/>
        </w:rPr>
        <w:footnoteRef/>
      </w:r>
      <w:r>
        <w:t xml:space="preserve"> </w:t>
      </w:r>
      <w:r>
        <w:t xml:space="preserve">A. Shabtai, Y. Elovici, L. Rokach, </w:t>
      </w:r>
      <w:r>
        <w:rPr>
          <w:i/>
          <w:iCs/>
        </w:rPr>
        <w:t xml:space="preserve">A Survey of Data Leakage Detection and Prevention Solutions</w:t>
      </w:r>
      <w:r>
        <w:t xml:space="preserve">, SpringerBriefs in Computer Science, Springer, New York 2012, https://doi.org/10.1007/978-1-4614-2053-8.</w:t>
      </w:r>
    </w:p>
  </w:footnote>
  <w:footnote w:id="14">
    <w:p>
      <w:pPr>
        <w:pStyle w:val="FootnoteText"/>
      </w:pPr>
      <w:r>
        <w:rPr>
          <w:rStyle w:val="FootnoteReference"/>
        </w:rPr>
        <w:footnoteRef/>
      </w:r>
      <w:r>
        <w:t xml:space="preserve"> </w:t>
      </w:r>
      <w:r>
        <w:t xml:space="preserve">Verizon Business, </w:t>
      </w:r>
      <w:r>
        <w:rPr>
          <w:i/>
          <w:iCs/>
        </w:rPr>
        <w:t xml:space="preserve">2024 Data Breach Investigations Report: Appendices</w:t>
      </w:r>
      <w:r>
        <w:t xml:space="preserve">, https://verizon.com/business/resources/reports/dbir/2024/appendix (dostęp 21.10.2026 r.).</w:t>
      </w:r>
    </w:p>
  </w:footnote>
  <w:footnote w:id="15">
    <w:p>
      <w:pPr>
        <w:pStyle w:val="FootnoteText"/>
      </w:pPr>
      <w:r>
        <w:rPr>
          <w:rStyle w:val="FootnoteReference"/>
        </w:rPr>
        <w:footnoteRef/>
      </w:r>
      <w:r>
        <w:t xml:space="preserve"> </w:t>
      </w:r>
      <w:r>
        <w:t xml:space="preserve">Rozporządzenie Parlamentu Europejskiego i Rady (UE) 2016/679 z dnia 27 kwietnia 2016 r. w sprawie ochrony osób fizycznych w związku z przetwarzaniem danych osobowych i w sprawie swobodnego przepływu takich danych oraz uchylenia dyrektywy 95/46/WE (ogólne rozporządzenie o ochronie danych) (Dz.Urz. UE L 119 z 4.05.2016, s. 1–88).</w:t>
      </w:r>
    </w:p>
  </w:footnote>
  <w:footnote w:id="16">
    <w:p>
      <w:pPr>
        <w:pStyle w:val="FootnoteText"/>
      </w:pPr>
      <w:r>
        <w:rPr>
          <w:rStyle w:val="FootnoteReference"/>
        </w:rPr>
        <w:footnoteRef/>
      </w:r>
      <w:r>
        <w:t xml:space="preserve"> </w:t>
      </w:r>
      <w:r>
        <w:t xml:space="preserve">Verizon Business, </w:t>
      </w:r>
      <w:r>
        <w:rPr>
          <w:i/>
          <w:iCs/>
        </w:rPr>
        <w:t xml:space="preserve">2024 Data Breach Investigations Report</w:t>
      </w:r>
      <w:r>
        <w:t xml:space="preserve">, dz. cyt.</w:t>
      </w:r>
    </w:p>
  </w:footnote>
  <w:footnote w:id="17">
    <w:p>
      <w:pPr>
        <w:pStyle w:val="FootnoteText"/>
      </w:pPr>
      <w:r>
        <w:rPr>
          <w:rStyle w:val="FootnoteReference"/>
        </w:rPr>
        <w:footnoteRef/>
      </w:r>
      <w:r>
        <w:t xml:space="preserve"> </w:t>
      </w:r>
      <w:r>
        <w:t xml:space="preserve">IBM, </w:t>
      </w:r>
      <w:r>
        <w:rPr>
          <w:i/>
          <w:iCs/>
        </w:rPr>
        <w:t xml:space="preserve">IBM Study: One in Four Malicious Breaches are AI-Enabled</w:t>
      </w:r>
      <w:r>
        <w:t xml:space="preserve">, dz. cyt.</w:t>
      </w:r>
    </w:p>
  </w:footnote>
  <w:footnote w:id="18">
    <w:p>
      <w:pPr>
        <w:pStyle w:val="FootnoteText"/>
      </w:pPr>
      <w:r>
        <w:rPr>
          <w:rStyle w:val="FootnoteReference"/>
        </w:rPr>
        <w:footnoteRef/>
      </w:r>
      <w:r>
        <w:t xml:space="preserve"> </w:t>
      </w:r>
      <w:r>
        <w:t xml:space="preserve">S. Alneyadi, E. Sithirasenan, V. Muthukkumarasamy, </w:t>
      </w:r>
      <w:r>
        <w:rPr>
          <w:i/>
          <w:iCs/>
        </w:rPr>
        <w:t xml:space="preserve">A survey on data leakage prevention systems</w:t>
      </w:r>
      <w:r>
        <w:t xml:space="preserve">, dz. cyt.</w:t>
      </w:r>
    </w:p>
  </w:footnote>
  <w:footnote w:id="19">
    <w:p>
      <w:pPr>
        <w:pStyle w:val="FootnoteText"/>
      </w:pPr>
      <w:r>
        <w:rPr>
          <w:rStyle w:val="FootnoteReference"/>
        </w:rPr>
        <w:footnoteRef/>
      </w:r>
      <w:r>
        <w:t xml:space="preserve"> </w:t>
      </w:r>
      <w:r>
        <w:t xml:space="preserve">L. Cheng, F. Liu, D. Yao, </w:t>
      </w:r>
      <w:r>
        <w:rPr>
          <w:i/>
          <w:iCs/>
        </w:rPr>
        <w:t xml:space="preserve">Enterprise data breach</w:t>
      </w:r>
      <w:r>
        <w:t xml:space="preserve">, dz. cyt.</w:t>
      </w:r>
    </w:p>
  </w:footnote>
  <w:footnote w:id="20">
    <w:p>
      <w:pPr>
        <w:pStyle w:val="FootnoteText"/>
      </w:pPr>
      <w:r>
        <w:rPr>
          <w:rStyle w:val="FootnoteReference"/>
        </w:rPr>
        <w:footnoteRef/>
      </w:r>
      <w:r>
        <w:t xml:space="preserve"> </w:t>
      </w:r>
      <w:r>
        <w:t xml:space="preserve">Tamże.</w:t>
      </w:r>
    </w:p>
  </w:footnote>
  <w:footnote w:id="21">
    <w:p>
      <w:pPr>
        <w:pStyle w:val="FootnoteText"/>
      </w:pPr>
      <w:r>
        <w:rPr>
          <w:rStyle w:val="FootnoteReference"/>
        </w:rPr>
        <w:footnoteRef/>
      </w:r>
      <w:r>
        <w:t xml:space="preserve"> </w:t>
      </w:r>
      <w:r>
        <w:t xml:space="preserve">W. Fisher i in., </w:t>
      </w:r>
      <w:r>
        <w:rPr>
          <w:i/>
          <w:iCs/>
        </w:rPr>
        <w:t xml:space="preserve">Data Confidentiality: Identifying and Protecting Assets Against Data Breaches</w:t>
      </w:r>
      <w:r>
        <w:t xml:space="preserve">, NIST Special Publication 1800-28, National Institute of Standards and Technology, Gaithersburg, MD 2024, https://doi.org/10.6028/NIST.SP.1800-28.</w:t>
      </w:r>
    </w:p>
  </w:footnote>
  <w:footnote w:id="22">
    <w:p>
      <w:pPr>
        <w:pStyle w:val="FootnoteText"/>
      </w:pPr>
      <w:r>
        <w:rPr>
          <w:rStyle w:val="FootnoteReference"/>
        </w:rPr>
        <w:footnoteRef/>
      </w:r>
      <w:r>
        <w:t xml:space="preserve"> </w:t>
      </w:r>
      <w:r>
        <w:t xml:space="preserve">L. Cheng, F. Liu, D. Yao, </w:t>
      </w:r>
      <w:r>
        <w:rPr>
          <w:i/>
          <w:iCs/>
        </w:rPr>
        <w:t xml:space="preserve">Enterprise data breach</w:t>
      </w:r>
      <w:r>
        <w:t xml:space="preserve">, dz. cyt.</w:t>
      </w:r>
    </w:p>
  </w:footnote>
  <w:footnote w:id="23">
    <w:p>
      <w:pPr>
        <w:pStyle w:val="FootnoteText"/>
      </w:pPr>
      <w:r>
        <w:rPr>
          <w:rStyle w:val="FootnoteReference"/>
        </w:rPr>
        <w:footnoteRef/>
      </w:r>
      <w:r>
        <w:t xml:space="preserve"> </w:t>
      </w:r>
      <w:r>
        <w:t xml:space="preserve">A. Shabtai, Y. Elovici, L. Rokach, </w:t>
      </w:r>
      <w:r>
        <w:rPr>
          <w:i/>
          <w:iCs/>
        </w:rPr>
        <w:t xml:space="preserve">A Survey of Data Leakage Detection and Prevention Solutions</w:t>
      </w:r>
      <w:r>
        <w:t xml:space="preserve">, dz. cyt.</w:t>
      </w:r>
    </w:p>
  </w:footnote>
  <w:footnote w:id="24">
    <w:p>
      <w:pPr>
        <w:pStyle w:val="FootnoteText"/>
      </w:pPr>
      <w:r>
        <w:rPr>
          <w:rStyle w:val="FootnoteReference"/>
        </w:rPr>
        <w:footnoteRef/>
      </w:r>
      <w:r>
        <w:t xml:space="preserve"> </w:t>
      </w:r>
      <w:r>
        <w:t xml:space="preserve">L. Cheng, F. Liu, D. Yao, </w:t>
      </w:r>
      <w:r>
        <w:rPr>
          <w:i/>
          <w:iCs/>
        </w:rPr>
        <w:t xml:space="preserve">Enterprise data breach</w:t>
      </w:r>
      <w:r>
        <w:t xml:space="preserve">, dz. cyt.</w:t>
      </w:r>
    </w:p>
  </w:footnote>
  <w:footnote w:id="25">
    <w:p>
      <w:pPr>
        <w:pStyle w:val="FootnoteText"/>
      </w:pPr>
      <w:r>
        <w:rPr>
          <w:rStyle w:val="FootnoteReference"/>
        </w:rPr>
        <w:footnoteRef/>
      </w:r>
      <w:r>
        <w:t xml:space="preserve"> </w:t>
      </w:r>
      <w:r>
        <w:t xml:space="preserve">Tamże.</w:t>
      </w:r>
    </w:p>
  </w:footnote>
  <w:footnote w:id="26">
    <w:p>
      <w:pPr>
        <w:pStyle w:val="FootnoteText"/>
      </w:pPr>
      <w:r>
        <w:rPr>
          <w:rStyle w:val="FootnoteReference"/>
        </w:rPr>
        <w:footnoteRef/>
      </w:r>
      <w:r>
        <w:t xml:space="preserve"> </w:t>
      </w:r>
      <w:r>
        <w:t xml:space="preserve">A. Shabtai, Y. Elovici, L. Rokach, </w:t>
      </w:r>
      <w:r>
        <w:rPr>
          <w:i/>
          <w:iCs/>
        </w:rPr>
        <w:t xml:space="preserve">A Survey of Data Leakage Detection and Prevention Solutions</w:t>
      </w:r>
      <w:r>
        <w:t xml:space="preserve">, dz. cyt.</w:t>
      </w:r>
    </w:p>
  </w:footnote>
  <w:footnote w:id="27">
    <w:p>
      <w:pPr>
        <w:pStyle w:val="FootnoteText"/>
      </w:pPr>
      <w:r>
        <w:rPr>
          <w:rStyle w:val="FootnoteReference"/>
        </w:rPr>
        <w:footnoteRef/>
      </w:r>
      <w:r>
        <w:t xml:space="preserve"> </w:t>
      </w:r>
      <w:r>
        <w:t xml:space="preserve">A. Chuvakin, </w:t>
      </w:r>
      <w:r>
        <w:rPr>
          <w:i/>
          <w:iCs/>
        </w:rPr>
        <w:t xml:space="preserve">Back in 2015, while working on a Gartner SOC paper, I coined the concept of „SOC nuclear triad”…</w:t>
      </w:r>
      <w:r>
        <w:t xml:space="preserve">, </w:t>
      </w:r>
      <w:r>
        <w:rPr>
          <w:i/>
          <w:iCs/>
        </w:rPr>
        <w:t xml:space="preserve">Anton on Security</w:t>
      </w:r>
      <w:r>
        <w:t xml:space="preserve"> (Medium), 2020; przedruk: Security Boulevard, wrzesień 2020, https://securityboulevard.com/2020/09/back-in-2015-while-working-on-a-gartner-soc-paper-i-coined-the-concept-of-soc-nuclear-triad/ (dostęp 21.10.2026 r.).</w:t>
      </w:r>
    </w:p>
  </w:footnote>
  <w:footnote w:id="28">
    <w:p>
      <w:pPr>
        <w:pStyle w:val="FootnoteText"/>
      </w:pPr>
      <w:r>
        <w:rPr>
          <w:rStyle w:val="FootnoteReference"/>
        </w:rPr>
        <w:footnoteRef/>
      </w:r>
      <w:r>
        <w:t xml:space="preserve"> </w:t>
      </w:r>
      <w:r>
        <w:t xml:space="preserve">L. Cheng, F. Liu, D. Yao, </w:t>
      </w:r>
      <w:r>
        <w:rPr>
          <w:i/>
          <w:iCs/>
        </w:rPr>
        <w:t xml:space="preserve">Enterprise data breach</w:t>
      </w:r>
      <w:r>
        <w:t xml:space="preserve">, dz. cyt.</w:t>
      </w:r>
    </w:p>
  </w:footnote>
  <w:footnote w:id="29">
    <w:p>
      <w:pPr>
        <w:pStyle w:val="FootnoteText"/>
      </w:pPr>
      <w:r>
        <w:rPr>
          <w:rStyle w:val="FootnoteReference"/>
        </w:rPr>
        <w:footnoteRef/>
      </w:r>
      <w:r>
        <w:t xml:space="preserve"> </w:t>
      </w:r>
      <w:r>
        <w:t xml:space="preserve">W. Fisher i in., </w:t>
      </w:r>
      <w:r>
        <w:rPr>
          <w:i/>
          <w:iCs/>
        </w:rPr>
        <w:t xml:space="preserve">Data Confidentiality</w:t>
      </w:r>
      <w:r>
        <w:t xml:space="preserve">, dz. cyt.</w:t>
      </w:r>
    </w:p>
  </w:footnote>
  <w:footnote w:id="30">
    <w:p>
      <w:pPr>
        <w:pStyle w:val="FootnoteText"/>
      </w:pPr>
      <w:r>
        <w:rPr>
          <w:rStyle w:val="FootnoteReference"/>
        </w:rPr>
        <w:footnoteRef/>
      </w:r>
      <w:r>
        <w:t xml:space="preserve"> </w:t>
      </w:r>
      <w:r>
        <w:t xml:space="preserve">L. Cheng, F. Liu, D. Yao, </w:t>
      </w:r>
      <w:r>
        <w:rPr>
          <w:i/>
          <w:iCs/>
        </w:rPr>
        <w:t xml:space="preserve">Enterprise data breach</w:t>
      </w:r>
      <w:r>
        <w:t xml:space="preserve">, dz. cyt.</w:t>
      </w:r>
    </w:p>
  </w:footnote>
  <w:footnote w:id="31">
    <w:p>
      <w:pPr>
        <w:pStyle w:val="FootnoteText"/>
      </w:pPr>
      <w:r>
        <w:rPr>
          <w:rStyle w:val="FootnoteReference"/>
        </w:rPr>
        <w:footnoteRef/>
      </w:r>
      <w:r>
        <w:t xml:space="preserve"> </w:t>
      </w:r>
      <w:r>
        <w:t xml:space="preserve">Tamże.</w:t>
      </w:r>
    </w:p>
  </w:footnote>
  <w:footnote w:id="32">
    <w:p>
      <w:pPr>
        <w:pStyle w:val="FootnoteText"/>
      </w:pPr>
      <w:r>
        <w:rPr>
          <w:rStyle w:val="FootnoteReference"/>
        </w:rPr>
        <w:footnoteRef/>
      </w:r>
      <w:r>
        <w:t xml:space="preserve"> </w:t>
      </w:r>
      <w:r>
        <w:t xml:space="preserve">J. Reason, </w:t>
      </w:r>
      <w:r>
        <w:rPr>
          <w:i/>
          <w:iCs/>
        </w:rPr>
        <w:t xml:space="preserve">Human error: models and management</w:t>
      </w:r>
      <w:r>
        <w:t xml:space="preserve">, „BMJ” 2000, t. 320, nr 7237, https://doi.org/10.1136/bmj.320.7237.768.</w:t>
      </w:r>
    </w:p>
  </w:footnote>
  <w:footnote w:id="33">
    <w:p>
      <w:pPr>
        <w:pStyle w:val="FootnoteText"/>
      </w:pPr>
      <w:r>
        <w:rPr>
          <w:rStyle w:val="FootnoteReference"/>
        </w:rPr>
        <w:footnoteRef/>
      </w:r>
      <w:r>
        <w:t xml:space="preserve"> </w:t>
      </w:r>
      <w:r>
        <w:t xml:space="preserve">Tamże.</w:t>
      </w:r>
    </w:p>
  </w:footnote>
  <w:footnote w:id="34">
    <w:p>
      <w:pPr>
        <w:pStyle w:val="FootnoteText"/>
      </w:pPr>
      <w:r>
        <w:rPr>
          <w:rStyle w:val="FootnoteReference"/>
        </w:rPr>
        <w:footnoteRef/>
      </w:r>
      <w:r>
        <w:t xml:space="preserve"> </w:t>
      </w:r>
      <w:r>
        <w:t xml:space="preserve">Tamże.</w:t>
      </w:r>
    </w:p>
  </w:footnote>
  <w:footnote w:id="35">
    <w:p>
      <w:pPr>
        <w:pStyle w:val="FootnoteText"/>
      </w:pPr>
      <w:r>
        <w:rPr>
          <w:rStyle w:val="FootnoteReference"/>
        </w:rPr>
        <w:footnoteRef/>
      </w:r>
      <w:r>
        <w:t xml:space="preserve"> </w:t>
      </w:r>
      <w:r>
        <w:t xml:space="preserve">L. Cheng, F. Liu, D. Yao, </w:t>
      </w:r>
      <w:r>
        <w:rPr>
          <w:i/>
          <w:iCs/>
        </w:rPr>
        <w:t xml:space="preserve">Enterprise data breach</w:t>
      </w:r>
      <w:r>
        <w:t xml:space="preserve">, dz. cyt.</w:t>
      </w:r>
    </w:p>
  </w:footnote>
  <w:footnote w:id="36">
    <w:p>
      <w:pPr>
        <w:pStyle w:val="FootnoteText"/>
      </w:pPr>
      <w:r>
        <w:rPr>
          <w:rStyle w:val="FootnoteReference"/>
        </w:rPr>
        <w:footnoteRef/>
      </w:r>
      <w:r>
        <w:t xml:space="preserve"> </w:t>
      </w:r>
      <w:r>
        <w:t xml:space="preserve">Tamże.</w:t>
      </w:r>
    </w:p>
  </w:footnote>
  <w:footnote w:id="37">
    <w:p>
      <w:pPr>
        <w:pStyle w:val="FootnoteText"/>
      </w:pPr>
      <w:r>
        <w:rPr>
          <w:rStyle w:val="FootnoteReference"/>
        </w:rPr>
        <w:footnoteRef/>
      </w:r>
      <w:r>
        <w:t xml:space="preserve"> </w:t>
      </w:r>
      <w:r>
        <w:t xml:space="preserve">W. Fisher i in., </w:t>
      </w:r>
      <w:r>
        <w:rPr>
          <w:i/>
          <w:iCs/>
        </w:rPr>
        <w:t xml:space="preserve">Data Confidentiality</w:t>
      </w:r>
      <w:r>
        <w:t xml:space="preserve">, dz. cyt.</w:t>
      </w:r>
    </w:p>
  </w:footnote>
  <w:footnote w:id="38">
    <w:p>
      <w:pPr>
        <w:pStyle w:val="FootnoteText"/>
      </w:pPr>
      <w:r>
        <w:rPr>
          <w:rStyle w:val="FootnoteReference"/>
        </w:rPr>
        <w:footnoteRef/>
      </w:r>
      <w:r>
        <w:t xml:space="preserve"> </w:t>
      </w:r>
      <w:r>
        <w:t xml:space="preserve">L. Cheng, F. Liu, D. Yao, </w:t>
      </w:r>
      <w:r>
        <w:rPr>
          <w:i/>
          <w:iCs/>
        </w:rPr>
        <w:t xml:space="preserve">Enterprise data breach</w:t>
      </w:r>
      <w:r>
        <w:t xml:space="preserve">, dz. cyt.</w:t>
      </w:r>
    </w:p>
  </w:footnote>
  <w:footnote w:id="39">
    <w:p>
      <w:pPr>
        <w:pStyle w:val="FootnoteText"/>
      </w:pPr>
      <w:r>
        <w:rPr>
          <w:rStyle w:val="FootnoteReference"/>
        </w:rPr>
        <w:footnoteRef/>
      </w:r>
      <w:r>
        <w:t xml:space="preserve"> </w:t>
      </w:r>
      <w:r>
        <w:t xml:space="preserve">J. Reason, </w:t>
      </w:r>
      <w:r>
        <w:rPr>
          <w:i/>
          <w:iCs/>
        </w:rPr>
        <w:t xml:space="preserve">Human error</w:t>
      </w:r>
      <w:r>
        <w:t xml:space="preserve">, dz. cyt.</w:t>
      </w:r>
    </w:p>
  </w:footnote>
  <w:footnote w:id="40">
    <w:p>
      <w:pPr>
        <w:pStyle w:val="FootnoteText"/>
      </w:pPr>
      <w:r>
        <w:rPr>
          <w:rStyle w:val="FootnoteReference"/>
        </w:rPr>
        <w:footnoteRef/>
      </w:r>
      <w:r>
        <w:t xml:space="preserve"> </w:t>
      </w:r>
      <w:r>
        <w:t xml:space="preserve">L. Cheng, F. Liu, D. Yao, </w:t>
      </w:r>
      <w:r>
        <w:rPr>
          <w:i/>
          <w:iCs/>
        </w:rPr>
        <w:t xml:space="preserve">Enterprise data breach</w:t>
      </w:r>
      <w:r>
        <w:t xml:space="preserve">, dz. cyt.</w:t>
      </w:r>
    </w:p>
  </w:footnote>
  <w:footnote w:id="41">
    <w:p>
      <w:pPr>
        <w:pStyle w:val="FootnoteText"/>
      </w:pPr>
      <w:r>
        <w:rPr>
          <w:rStyle w:val="FootnoteReference"/>
        </w:rPr>
        <w:footnoteRef/>
      </w:r>
      <w:r>
        <w:t xml:space="preserve"> </w:t>
      </w:r>
      <w:r>
        <w:t xml:space="preserve">Tamże.</w:t>
      </w:r>
    </w:p>
  </w:footnote>
  <w:footnote w:id="42">
    <w:p>
      <w:pPr>
        <w:pStyle w:val="FootnoteText"/>
      </w:pPr>
      <w:r>
        <w:rPr>
          <w:rStyle w:val="FootnoteReference"/>
        </w:rPr>
        <w:footnoteRef/>
      </w:r>
      <w:r>
        <w:t xml:space="preserve"> </w:t>
      </w:r>
      <w:r>
        <w:t xml:space="preserve">J. Reason, </w:t>
      </w:r>
      <w:r>
        <w:rPr>
          <w:i/>
          <w:iCs/>
        </w:rPr>
        <w:t xml:space="preserve">Human error</w:t>
      </w:r>
      <w:r>
        <w:t xml:space="preserve">, dz. cyt.</w:t>
      </w:r>
    </w:p>
  </w:footnote>
  <w:footnote w:id="43">
    <w:p>
      <w:pPr>
        <w:pStyle w:val="FootnoteText"/>
      </w:pPr>
      <w:r>
        <w:rPr>
          <w:rStyle w:val="FootnoteReference"/>
        </w:rPr>
        <w:footnoteRef/>
      </w:r>
      <w:r>
        <w:t xml:space="preserve"> </w:t>
      </w:r>
      <w:r>
        <w:t xml:space="preserve">L. Cheng, F. Liu, D. Yao, </w:t>
      </w:r>
      <w:r>
        <w:rPr>
          <w:i/>
          <w:iCs/>
        </w:rPr>
        <w:t xml:space="preserve">Enterprise data breach</w:t>
      </w:r>
      <w:r>
        <w:t xml:space="preserve">, dz. cyt.</w:t>
      </w:r>
    </w:p>
  </w:footnote>
  <w:footnote w:id="44">
    <w:p>
      <w:pPr>
        <w:pStyle w:val="FootnoteText"/>
      </w:pPr>
      <w:r>
        <w:rPr>
          <w:rStyle w:val="FootnoteReference"/>
        </w:rPr>
        <w:footnoteRef/>
      </w:r>
      <w:r>
        <w:t xml:space="preserve"> </w:t>
      </w:r>
      <w:r>
        <w:t xml:space="preserve">IBM, </w:t>
      </w:r>
      <w:r>
        <w:rPr>
          <w:i/>
          <w:iCs/>
        </w:rPr>
        <w:t xml:space="preserve">IBM Study: One in Four Malicious Breaches are AI-Enabled</w:t>
      </w:r>
      <w:r>
        <w:t xml:space="preserve">, dz. cyt.</w:t>
      </w:r>
    </w:p>
  </w:footnote>
  <w:footnote w:id="45">
    <w:p>
      <w:pPr>
        <w:pStyle w:val="FootnoteText"/>
      </w:pPr>
      <w:r>
        <w:rPr>
          <w:rStyle w:val="FootnoteReference"/>
        </w:rPr>
        <w:footnoteRef/>
      </w:r>
      <w:r>
        <w:t xml:space="preserve"> </w:t>
      </w:r>
      <w:r>
        <w:t xml:space="preserve">L. Cheng, F. Liu, D. Yao, </w:t>
      </w:r>
      <w:r>
        <w:rPr>
          <w:i/>
          <w:iCs/>
        </w:rPr>
        <w:t xml:space="preserve">Enterprise data breach</w:t>
      </w:r>
      <w:r>
        <w:t xml:space="preserve">, dz. cyt.</w:t>
      </w:r>
    </w:p>
  </w:footnote>
  <w:footnote w:id="46">
    <w:p>
      <w:pPr>
        <w:pStyle w:val="FootnoteText"/>
      </w:pPr>
      <w:r>
        <w:rPr>
          <w:rStyle w:val="FootnoteReference"/>
        </w:rPr>
        <w:footnoteRef/>
      </w:r>
      <w:r>
        <w:t xml:space="preserve"> </w:t>
      </w:r>
      <w:r>
        <w:t xml:space="preserve">RODO.</w:t>
      </w:r>
    </w:p>
  </w:footnote>
  <w:footnote w:id="47">
    <w:p>
      <w:pPr>
        <w:pStyle w:val="FootnoteText"/>
      </w:pPr>
      <w:r>
        <w:rPr>
          <w:rStyle w:val="FootnoteReference"/>
        </w:rPr>
        <w:footnoteRef/>
      </w:r>
      <w:r>
        <w:t xml:space="preserve"> </w:t>
      </w:r>
      <w:r>
        <w:t xml:space="preserve">IBM, </w:t>
      </w:r>
      <w:r>
        <w:rPr>
          <w:i/>
          <w:iCs/>
        </w:rPr>
        <w:t xml:space="preserve">IBM Study: One in Four Malicious Breaches are AI-Enabled</w:t>
      </w:r>
      <w:r>
        <w:t xml:space="preserve">, dz. cyt.</w:t>
      </w:r>
    </w:p>
  </w:footnote>
  <w:footnote w:id="48">
    <w:p>
      <w:pPr>
        <w:pStyle w:val="FootnoteText"/>
      </w:pPr>
      <w:r>
        <w:rPr>
          <w:rStyle w:val="FootnoteReference"/>
        </w:rPr>
        <w:footnoteRef/>
      </w:r>
      <w:r>
        <w:t xml:space="preserve"> </w:t>
      </w:r>
      <w:r>
        <w:t xml:space="preserve">L. Cheng, F. Liu, D. Yao, </w:t>
      </w:r>
      <w:r>
        <w:rPr>
          <w:i/>
          <w:iCs/>
        </w:rPr>
        <w:t xml:space="preserve">Enterprise data breach</w:t>
      </w:r>
      <w:r>
        <w:t xml:space="preserve">, dz. cyt.</w:t>
      </w:r>
    </w:p>
  </w:footnote>
  <w:footnote w:id="49">
    <w:p>
      <w:pPr>
        <w:pStyle w:val="FootnoteText"/>
      </w:pPr>
      <w:r>
        <w:rPr>
          <w:rStyle w:val="FootnoteReference"/>
        </w:rPr>
        <w:footnoteRef/>
      </w:r>
      <w:r>
        <w:t xml:space="preserve"> </w:t>
      </w:r>
      <w:r>
        <w:t xml:space="preserve">Tamże.</w:t>
      </w:r>
    </w:p>
  </w:footnote>
  <w:footnote w:id="50">
    <w:p>
      <w:pPr>
        <w:pStyle w:val="FootnoteText"/>
      </w:pPr>
      <w:r>
        <w:rPr>
          <w:rStyle w:val="FootnoteReference"/>
        </w:rPr>
        <w:footnoteRef/>
      </w:r>
      <w:r>
        <w:t xml:space="preserve"> </w:t>
      </w:r>
      <w:r>
        <w:t xml:space="preserve">J. Reason, </w:t>
      </w:r>
      <w:r>
        <w:rPr>
          <w:i/>
          <w:iCs/>
        </w:rPr>
        <w:t xml:space="preserve">Human error</w:t>
      </w:r>
      <w:r>
        <w:t xml:space="preserve">, dz. cyt.</w:t>
      </w:r>
    </w:p>
  </w:footnote>
  <w:footnote w:id="51">
    <w:p>
      <w:pPr>
        <w:pStyle w:val="FootnoteText"/>
      </w:pPr>
      <w:r>
        <w:rPr>
          <w:rStyle w:val="FootnoteReference"/>
        </w:rPr>
        <w:footnoteRef/>
      </w:r>
      <w:r>
        <w:t xml:space="preserve"> </w:t>
      </w:r>
      <w:r>
        <w:t xml:space="preserve">L. Cheng, F. Liu, D. Yao, </w:t>
      </w:r>
      <w:r>
        <w:rPr>
          <w:i/>
          <w:iCs/>
        </w:rPr>
        <w:t xml:space="preserve">Enterprise data breach</w:t>
      </w:r>
      <w:r>
        <w:t xml:space="preserve">, dz. cyt.</w:t>
      </w:r>
    </w:p>
  </w:footnote>
  <w:footnote w:id="52">
    <w:p>
      <w:pPr>
        <w:pStyle w:val="FootnoteText"/>
      </w:pPr>
      <w:r>
        <w:rPr>
          <w:rStyle w:val="FootnoteReference"/>
        </w:rPr>
        <w:footnoteRef/>
      </w:r>
      <w:r>
        <w:t xml:space="preserve"> </w:t>
      </w:r>
      <w:r>
        <w:t xml:space="preserve">Tamże.</w:t>
      </w:r>
    </w:p>
  </w:footnote>
  <w:footnote w:id="53">
    <w:p>
      <w:pPr>
        <w:pStyle w:val="FootnoteText"/>
      </w:pPr>
      <w:r>
        <w:rPr>
          <w:rStyle w:val="FootnoteReference"/>
        </w:rPr>
        <w:footnoteRef/>
      </w:r>
      <w:r>
        <w:t xml:space="preserve"> </w:t>
      </w:r>
      <w:r>
        <w:t xml:space="preserve">Verizon, </w:t>
      </w:r>
      <w:r>
        <w:rPr>
          <w:i/>
          <w:iCs/>
        </w:rPr>
        <w:t xml:space="preserve">Vulnerability exploitation top breach entry point</w:t>
      </w:r>
      <w:r>
        <w:t xml:space="preserve">, dz. cyt.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85"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pl-PL"/>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keepNext/>
      <w:spacing w:after="120" w:before="240" w:line="360"/>
      <w:ind w:firstLine="425"/>
    </w:pPr>
    <w:rPr>
      <w:rFonts w:ascii="Times New Roman" w:cs="Times New Roman" w:eastAsia="Times New Roman" w:hAnsi="Times New Roman"/>
      <w:b/>
      <w:bCs/>
      <w:i w:val="false"/>
      <w:iCs w:val="false"/>
      <w:color w:val="000000"/>
      <w:sz w:val="24"/>
      <w:szCs w:val="24"/>
    </w:rPr>
  </w:style>
  <w:style w:type="paragraph" w:styleId="Heading2">
    <w:name w:val="Heading 2"/>
    <w:basedOn w:val="Normal"/>
    <w:next w:val="Normal"/>
    <w:qFormat/>
    <w:pPr>
      <w:keepNext/>
      <w:spacing w:after="60" w:before="180" w:line="360"/>
      <w:ind w:firstLine="425"/>
    </w:pPr>
    <w:rPr>
      <w:rFonts w:ascii="Times New Roman" w:cs="Times New Roman" w:eastAsia="Times New Roman" w:hAnsi="Times New Roman"/>
      <w:b/>
      <w:bCs/>
      <w:i/>
      <w:i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before="0" w:line="240"/>
      <w:ind w:left="142" w:hanging="142"/>
      <w:jc w:val="both"/>
    </w:pPr>
    <w:rPr>
      <w:rFonts w:ascii="Times New Roman" w:cs="Times New Roman" w:eastAsia="Times New Roman" w:hAnsi="Times New Roman"/>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Ochrona przed wyciekiem danych: rola systemów DLP w wielowarstwowym modelu cyberbezpieczeństwa</dc:title>
  <dc:creator>Bartosz Lewandowski</dc:creator>
  <cp:lastModifiedBy>Un-named</cp:lastModifiedBy>
  <cp:revision>1</cp:revision>
  <dcterms:created xsi:type="dcterms:W3CDTF">2026-10-21T22:10:17.196Z</dcterms:created>
  <dcterms:modified xsi:type="dcterms:W3CDTF">2026-10-21T22:10:17.197Z</dcterms:modified>
</cp:coreProperties>
</file>

<file path=docProps/custom.xml><?xml version="1.0" encoding="utf-8"?>
<Properties xmlns="http://schemas.openxmlformats.org/officeDocument/2006/custom-properties" xmlns:vt="http://schemas.openxmlformats.org/officeDocument/2006/docPropsVTypes"/>
</file>