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02"/>
        <w:gridCol w:w="3969"/>
      </w:tblGrid>
      <w:tr w:rsidR="004330ED" w:rsidTr="00EA1CE4" w14:paraId="262E35D4" w14:textId="77777777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30ED" w:rsidP="00EA1CE4" w:rsidRDefault="004330ED" w14:paraId="1F4E33C7" w14:textId="77777777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  <w:spacing w:val="40"/>
                <w:sz w:val="22"/>
              </w:rPr>
            </w:pPr>
            <w:r>
              <w:rPr>
                <w:rFonts w:ascii="Times New Roman" w:hAnsi="Times New Roman"/>
                <w:spacing w:val="40"/>
                <w:sz w:val="30"/>
              </w:rPr>
              <w:t>T</w:t>
            </w:r>
            <w:r w:rsidR="0021777F">
              <w:rPr>
                <w:rFonts w:ascii="Times New Roman" w:hAnsi="Times New Roman"/>
                <w:spacing w:val="40"/>
                <w:sz w:val="22"/>
              </w:rPr>
              <w:t>WEEDE</w:t>
            </w:r>
            <w:r>
              <w:rPr>
                <w:rFonts w:ascii="Times New Roman" w:hAnsi="Times New Roman"/>
                <w:spacing w:val="40"/>
                <w:sz w:val="22"/>
              </w:rPr>
              <w:t xml:space="preserve"> </w:t>
            </w:r>
            <w:r>
              <w:rPr>
                <w:rFonts w:ascii="Times New Roman" w:hAnsi="Times New Roman"/>
                <w:spacing w:val="40"/>
                <w:sz w:val="30"/>
              </w:rPr>
              <w:t>K</w:t>
            </w:r>
            <w:r w:rsidR="0021777F">
              <w:rPr>
                <w:rFonts w:ascii="Times New Roman" w:hAnsi="Times New Roman"/>
                <w:spacing w:val="40"/>
                <w:sz w:val="22"/>
              </w:rPr>
              <w:t xml:space="preserve">AMER </w:t>
            </w:r>
            <w:r>
              <w:rPr>
                <w:rFonts w:ascii="Times New Roman" w:hAnsi="Times New Roman"/>
                <w:spacing w:val="40"/>
                <w:sz w:val="22"/>
              </w:rPr>
              <w:t>DER</w:t>
            </w:r>
            <w:r>
              <w:rPr>
                <w:rFonts w:ascii="Times New Roman" w:hAnsi="Times New Roman"/>
                <w:spacing w:val="40"/>
                <w:sz w:val="30"/>
              </w:rPr>
              <w:t xml:space="preserve"> S</w:t>
            </w:r>
            <w:r>
              <w:rPr>
                <w:rFonts w:ascii="Times New Roman" w:hAnsi="Times New Roman"/>
                <w:spacing w:val="40"/>
                <w:sz w:val="22"/>
              </w:rPr>
              <w:t>TATEN-</w:t>
            </w:r>
            <w:r>
              <w:rPr>
                <w:rFonts w:ascii="Times New Roman" w:hAnsi="Times New Roman"/>
                <w:spacing w:val="40"/>
                <w:sz w:val="30"/>
              </w:rPr>
              <w:t>G</w:t>
            </w:r>
            <w:r>
              <w:rPr>
                <w:rFonts w:ascii="Times New Roman" w:hAnsi="Times New Roman"/>
                <w:spacing w:val="40"/>
                <w:sz w:val="22"/>
              </w:rPr>
              <w:t>ENERAAL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4330ED" w:rsidP="006E0971" w:rsidRDefault="004330ED" w14:paraId="16250B46" w14:textId="77777777">
            <w:pPr>
              <w:pStyle w:val="Amendement"/>
              <w:tabs>
                <w:tab w:val="clear" w:pos="3310"/>
                <w:tab w:val="clear" w:pos="3600"/>
              </w:tabs>
              <w:ind w:left="-70"/>
              <w:jc w:val="right"/>
              <w:rPr>
                <w:rFonts w:ascii="Times New Roman" w:hAnsi="Times New Roman"/>
                <w:spacing w:val="40"/>
                <w:sz w:val="22"/>
              </w:rPr>
            </w:pPr>
            <w:r>
              <w:rPr>
                <w:rFonts w:ascii="Times New Roman" w:hAnsi="Times New Roman"/>
                <w:sz w:val="88"/>
              </w:rPr>
              <w:t>2</w:t>
            </w:r>
          </w:p>
        </w:tc>
      </w:tr>
      <w:tr w:rsidR="004330ED" w:rsidTr="00EA1CE4" w14:paraId="37491F65" w14:textId="77777777">
        <w:trPr>
          <w:cantSplit/>
        </w:trPr>
        <w:tc>
          <w:tcPr>
            <w:tcW w:w="1034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330ED" w:rsidP="004A1E29" w:rsidRDefault="004330ED" w14:paraId="55D3BEBC" w14:textId="77777777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 xml:space="preserve">Vergaderjaar </w:t>
            </w:r>
            <w:r w:rsidRPr="00E908D7" w:rsidR="00E908D7">
              <w:rPr>
                <w:rFonts w:ascii="Times New Roman" w:hAnsi="Times New Roman"/>
                <w:b w:val="0"/>
              </w:rPr>
              <w:t>2024-2025</w:t>
            </w:r>
          </w:p>
        </w:tc>
      </w:tr>
      <w:tr w:rsidR="004330ED" w:rsidTr="00EA1CE4" w14:paraId="1DF23942" w14:textId="77777777">
        <w:trPr>
          <w:cantSplit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30ED" w:rsidP="00BF623B" w:rsidRDefault="004330ED" w14:paraId="0B462B27" w14:textId="77777777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  <w:b w:val="0"/>
              </w:rPr>
            </w:pPr>
          </w:p>
        </w:tc>
      </w:tr>
      <w:tr w:rsidR="004330ED" w:rsidTr="00EA1CE4" w14:paraId="2C31821B" w14:textId="77777777">
        <w:trPr>
          <w:cantSplit/>
        </w:trPr>
        <w:tc>
          <w:tcPr>
            <w:tcW w:w="1034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4330ED" w:rsidP="00BF623B" w:rsidRDefault="004330ED" w14:paraId="708B5464" w14:textId="77777777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</w:rPr>
            </w:pPr>
          </w:p>
        </w:tc>
      </w:tr>
      <w:tr w:rsidR="004330ED" w:rsidTr="00EA1CE4" w14:paraId="74E992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 w:rsidR="004330ED" w:rsidP="006E0971" w:rsidRDefault="004330ED" w14:paraId="0259105E" w14:textId="77777777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2"/>
          </w:tcPr>
          <w:p w:rsidRPr="00783215" w:rsidR="004330ED" w:rsidP="006E0971" w:rsidRDefault="004330ED" w14:paraId="2DD58F5C" w14:textId="77777777">
            <w:pPr>
              <w:suppressAutoHyphens/>
              <w:ind w:left="-70"/>
              <w:rPr>
                <w:b/>
              </w:rPr>
            </w:pPr>
          </w:p>
        </w:tc>
      </w:tr>
      <w:tr w:rsidR="003C21AC" w:rsidTr="00EA1CE4" w14:paraId="32E6B51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 w:rsidRPr="00C035D4" w:rsidR="003C21AC" w:rsidP="00EA1CE4" w:rsidRDefault="00241A7F" w14:paraId="3FA6B77B" w14:textId="7D78905F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36 549</w:t>
            </w:r>
          </w:p>
        </w:tc>
        <w:tc>
          <w:tcPr>
            <w:tcW w:w="7371" w:type="dxa"/>
            <w:gridSpan w:val="2"/>
          </w:tcPr>
          <w:p w:rsidRPr="00241A7F" w:rsidR="003C21AC" w:rsidP="00241A7F" w:rsidRDefault="00241A7F" w14:paraId="79D9C851" w14:textId="46368295">
            <w:pPr>
              <w:rPr>
                <w:b/>
                <w:bCs/>
              </w:rPr>
            </w:pPr>
            <w:r w:rsidRPr="00241A7F">
              <w:rPr>
                <w:b/>
                <w:bCs/>
              </w:rPr>
              <w:t>Invoering van regels met betrekking tot het loopbaanvervolg van bewindspersonen, alsmede een tweetal wijzigingen van de Wet adviescollege rechtspositie politieke ambtsdragers (Wet regels vervolgfuncties bewindspersonen)</w:t>
            </w:r>
          </w:p>
        </w:tc>
      </w:tr>
      <w:tr w:rsidR="003C21AC" w:rsidTr="00EA1CE4" w14:paraId="014A847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 w:rsidRPr="00C035D4" w:rsidR="003C21AC" w:rsidP="006E0971" w:rsidRDefault="003C21AC" w14:paraId="57BD783C" w14:textId="77777777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2"/>
          </w:tcPr>
          <w:p w:rsidRPr="00783215" w:rsidR="003C21AC" w:rsidP="006E0971" w:rsidRDefault="003C21AC" w14:paraId="1ABA89F0" w14:textId="77777777">
            <w:pPr>
              <w:pStyle w:val="Amendement"/>
              <w:tabs>
                <w:tab w:val="clear" w:pos="3310"/>
                <w:tab w:val="clear" w:pos="3600"/>
              </w:tabs>
              <w:ind w:left="-70"/>
              <w:rPr>
                <w:rFonts w:ascii="Times New Roman" w:hAnsi="Times New Roman"/>
              </w:rPr>
            </w:pPr>
          </w:p>
        </w:tc>
      </w:tr>
      <w:tr w:rsidR="003C21AC" w:rsidTr="00EA1CE4" w14:paraId="19DB5DC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 w:rsidRPr="00C035D4" w:rsidR="003C21AC" w:rsidP="006E0971" w:rsidRDefault="003C21AC" w14:paraId="22C9BA7B" w14:textId="77777777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2"/>
          </w:tcPr>
          <w:p w:rsidRPr="00C035D4" w:rsidR="003C21AC" w:rsidP="006E0971" w:rsidRDefault="003C21AC" w14:paraId="3003B8F5" w14:textId="77777777">
            <w:pPr>
              <w:pStyle w:val="Amendement"/>
              <w:tabs>
                <w:tab w:val="clear" w:pos="3310"/>
                <w:tab w:val="clear" w:pos="3600"/>
              </w:tabs>
              <w:ind w:left="-70"/>
              <w:rPr>
                <w:rFonts w:ascii="Times New Roman" w:hAnsi="Times New Roman"/>
              </w:rPr>
            </w:pPr>
          </w:p>
        </w:tc>
      </w:tr>
      <w:tr w:rsidR="003C21AC" w:rsidTr="00EA1CE4" w14:paraId="24EED1E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 w:rsidRPr="00C035D4" w:rsidR="003C21AC" w:rsidP="00EA1CE4" w:rsidRDefault="003C21AC" w14:paraId="0FA9FB38" w14:textId="30B51472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</w:rPr>
            </w:pPr>
            <w:r w:rsidRPr="00C035D4">
              <w:rPr>
                <w:rFonts w:ascii="Times New Roman" w:hAnsi="Times New Roman"/>
              </w:rPr>
              <w:t xml:space="preserve">Nr. </w:t>
            </w:r>
            <w:r w:rsidR="008A0E63">
              <w:rPr>
                <w:rFonts w:ascii="Times New Roman" w:hAnsi="Times New Roman"/>
                <w:caps/>
              </w:rPr>
              <w:t>12</w:t>
            </w:r>
          </w:p>
        </w:tc>
        <w:tc>
          <w:tcPr>
            <w:tcW w:w="7371" w:type="dxa"/>
            <w:gridSpan w:val="2"/>
          </w:tcPr>
          <w:p w:rsidRPr="00C035D4" w:rsidR="003C21AC" w:rsidP="006E0971" w:rsidRDefault="003C21AC" w14:paraId="07175399" w14:textId="60875D59">
            <w:pPr>
              <w:pStyle w:val="Amendement"/>
              <w:tabs>
                <w:tab w:val="clear" w:pos="3310"/>
                <w:tab w:val="clear" w:pos="3600"/>
              </w:tabs>
              <w:ind w:left="-70"/>
              <w:rPr>
                <w:rFonts w:ascii="Times New Roman" w:hAnsi="Times New Roman"/>
                <w:caps/>
              </w:rPr>
            </w:pPr>
            <w:r w:rsidRPr="00C035D4">
              <w:rPr>
                <w:rFonts w:ascii="Times New Roman" w:hAnsi="Times New Roman"/>
                <w:caps/>
              </w:rPr>
              <w:t xml:space="preserve">AMENDEMENT VAN </w:t>
            </w:r>
            <w:r w:rsidR="008A0E63">
              <w:rPr>
                <w:rFonts w:ascii="Times New Roman" w:hAnsi="Times New Roman"/>
                <w:caps/>
              </w:rPr>
              <w:t xml:space="preserve">de leden </w:t>
            </w:r>
            <w:r w:rsidR="00241A7F">
              <w:rPr>
                <w:rFonts w:ascii="Times New Roman" w:hAnsi="Times New Roman"/>
                <w:caps/>
              </w:rPr>
              <w:t>van nispen</w:t>
            </w:r>
            <w:r w:rsidR="008A0E63">
              <w:rPr>
                <w:rFonts w:ascii="Times New Roman" w:hAnsi="Times New Roman"/>
                <w:caps/>
              </w:rPr>
              <w:t xml:space="preserve"> en sneller ter vervanging van dat gedrukt onder nr. 8</w:t>
            </w:r>
            <w:r w:rsidR="008A0E63">
              <w:rPr>
                <w:rStyle w:val="Voetnootmarkering"/>
                <w:rFonts w:ascii="Times New Roman" w:hAnsi="Times New Roman"/>
                <w:caps/>
              </w:rPr>
              <w:footnoteReference w:id="1"/>
            </w:r>
          </w:p>
        </w:tc>
      </w:tr>
      <w:tr w:rsidR="003C21AC" w:rsidTr="00EA1CE4" w14:paraId="25330EA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 w:rsidR="003C21AC" w:rsidP="006E0971" w:rsidRDefault="003C21AC" w14:paraId="78F7B81D" w14:textId="77777777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2"/>
          </w:tcPr>
          <w:p w:rsidR="003C21AC" w:rsidP="006E0971" w:rsidRDefault="003C21AC" w14:paraId="525F1846" w14:textId="6BB4553B">
            <w:pPr>
              <w:pStyle w:val="Amendement"/>
              <w:tabs>
                <w:tab w:val="clear" w:pos="3310"/>
                <w:tab w:val="clear" w:pos="3600"/>
              </w:tabs>
              <w:ind w:left="-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Ontvangen</w:t>
            </w:r>
            <w:r w:rsidR="00903DAF">
              <w:rPr>
                <w:rFonts w:ascii="Times New Roman" w:hAnsi="Times New Roman"/>
                <w:b w:val="0"/>
              </w:rPr>
              <w:t xml:space="preserve"> </w:t>
            </w:r>
            <w:r w:rsidR="008A0E63">
              <w:rPr>
                <w:rFonts w:ascii="Times New Roman" w:hAnsi="Times New Roman"/>
                <w:b w:val="0"/>
              </w:rPr>
              <w:t xml:space="preserve">7 april </w:t>
            </w:r>
            <w:r w:rsidR="00903DAF">
              <w:rPr>
                <w:rFonts w:ascii="Times New Roman" w:hAnsi="Times New Roman"/>
                <w:b w:val="0"/>
              </w:rPr>
              <w:t>2025</w:t>
            </w:r>
          </w:p>
        </w:tc>
      </w:tr>
      <w:tr w:rsidR="00B01BA6" w:rsidTr="00EA1CE4" w14:paraId="2B96EE5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7" w:type="dxa"/>
          </w:tcPr>
          <w:p w:rsidR="00B01BA6" w:rsidP="006E0971" w:rsidRDefault="00B01BA6" w14:paraId="32C69CC6" w14:textId="77777777">
            <w:pPr>
              <w:pStyle w:val="Amendement"/>
              <w:tabs>
                <w:tab w:val="clear" w:pos="3310"/>
                <w:tab w:val="clear" w:pos="3600"/>
              </w:tabs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2"/>
          </w:tcPr>
          <w:p w:rsidR="00B01BA6" w:rsidP="006E0971" w:rsidRDefault="00B01BA6" w14:paraId="08792BEE" w14:textId="77777777">
            <w:pPr>
              <w:pStyle w:val="Amendement"/>
              <w:tabs>
                <w:tab w:val="clear" w:pos="3310"/>
                <w:tab w:val="clear" w:pos="3600"/>
              </w:tabs>
              <w:ind w:left="-70"/>
              <w:rPr>
                <w:rFonts w:ascii="Times New Roman" w:hAnsi="Times New Roman"/>
                <w:b w:val="0"/>
              </w:rPr>
            </w:pPr>
          </w:p>
        </w:tc>
      </w:tr>
      <w:tr w:rsidRPr="00EA69AC" w:rsidR="00B01BA6" w:rsidTr="00EA1CE4" w14:paraId="6F8BACA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348" w:type="dxa"/>
            <w:gridSpan w:val="3"/>
          </w:tcPr>
          <w:p w:rsidRPr="00EA69AC" w:rsidR="00B01BA6" w:rsidP="0088452C" w:rsidRDefault="00B01BA6" w14:paraId="5841CE14" w14:textId="028CAAD9">
            <w:pPr>
              <w:ind w:firstLine="284"/>
            </w:pPr>
            <w:r w:rsidRPr="00EA69AC">
              <w:t>De ondergetekende</w:t>
            </w:r>
            <w:r w:rsidR="008A0E63">
              <w:t xml:space="preserve">n stellen </w:t>
            </w:r>
            <w:r w:rsidRPr="00EA69AC">
              <w:t>het volgende amendement voor:</w:t>
            </w:r>
          </w:p>
        </w:tc>
      </w:tr>
    </w:tbl>
    <w:p w:rsidRPr="00EA69AC" w:rsidR="004330ED" w:rsidP="00D774B3" w:rsidRDefault="004330ED" w14:paraId="5C6A94BF" w14:textId="77777777"/>
    <w:p w:rsidR="00241A7F" w:rsidP="00241A7F" w:rsidRDefault="00241A7F" w14:paraId="15FCF9E4" w14:textId="77777777">
      <w:pPr>
        <w:ind w:firstLine="284"/>
      </w:pPr>
      <w:r>
        <w:t>Artikel 4 wordt als volgt gewijzigd:</w:t>
      </w:r>
    </w:p>
    <w:p w:rsidR="00241A7F" w:rsidP="00241A7F" w:rsidRDefault="00241A7F" w14:paraId="250B65BD" w14:textId="77777777">
      <w:pPr>
        <w:ind w:firstLine="284"/>
      </w:pPr>
    </w:p>
    <w:p w:rsidR="00241A7F" w:rsidP="00241A7F" w:rsidRDefault="00241A7F" w14:paraId="414AC932" w14:textId="77777777">
      <w:pPr>
        <w:ind w:firstLine="284"/>
      </w:pPr>
      <w:r>
        <w:t>1. In het eerste lid wordt “de ambtenaren” vervangen door “bewindspersonen, ambtenaren”.</w:t>
      </w:r>
    </w:p>
    <w:p w:rsidR="00241A7F" w:rsidP="00241A7F" w:rsidRDefault="00241A7F" w14:paraId="6D154C37" w14:textId="77777777">
      <w:pPr>
        <w:ind w:firstLine="284"/>
      </w:pPr>
    </w:p>
    <w:p w:rsidR="00241A7F" w:rsidP="00241A7F" w:rsidRDefault="00241A7F" w14:paraId="6519DE01" w14:textId="574128D9">
      <w:pPr>
        <w:ind w:firstLine="284"/>
      </w:pPr>
      <w:r>
        <w:t>2. In het tweede lid wordt na “gewezen bewindspersoon” ingevoegd “</w:t>
      </w:r>
      <w:bookmarkStart w:name="_Hlk193445956" w:id="0"/>
      <w:r>
        <w:t xml:space="preserve">die zakelijk contact heeft met een bewindspersoon van zijn voormalig ministerie over </w:t>
      </w:r>
      <w:r w:rsidR="002114E1">
        <w:t>zijn opvolging</w:t>
      </w:r>
      <w:r>
        <w:t xml:space="preserve"> of</w:t>
      </w:r>
      <w:bookmarkEnd w:id="0"/>
      <w:r>
        <w:t>”.</w:t>
      </w:r>
    </w:p>
    <w:p w:rsidR="00241A7F" w:rsidP="0088452C" w:rsidRDefault="00241A7F" w14:paraId="6E8209BA" w14:textId="77777777">
      <w:pPr>
        <w:ind w:firstLine="284"/>
      </w:pPr>
    </w:p>
    <w:p w:rsidRPr="00EA69AC" w:rsidR="003C21AC" w:rsidP="00EA1CE4" w:rsidRDefault="003C21AC" w14:paraId="34B8244E" w14:textId="77777777">
      <w:pPr>
        <w:rPr>
          <w:b/>
        </w:rPr>
      </w:pPr>
      <w:r w:rsidRPr="00EA69AC">
        <w:rPr>
          <w:b/>
        </w:rPr>
        <w:t>Toelichting</w:t>
      </w:r>
    </w:p>
    <w:p w:rsidRPr="00EA69AC" w:rsidR="003C21AC" w:rsidP="00BF623B" w:rsidRDefault="003C21AC" w14:paraId="175597CF" w14:textId="77777777"/>
    <w:p w:rsidRPr="008467D7" w:rsidR="00E6619B" w:rsidP="00EA1CE4" w:rsidRDefault="0062256C" w14:paraId="49ADA103" w14:textId="230A49EE">
      <w:r w:rsidRPr="0062256C">
        <w:t>De indiener</w:t>
      </w:r>
      <w:r w:rsidR="008A0E63">
        <w:t xml:space="preserve">s constateren </w:t>
      </w:r>
      <w:r w:rsidRPr="0062256C">
        <w:t>dat de afkoelperiode van twee jaar slechts geldt voor de zakelijke contacten tussen de oud-bewindspersonen en ambtenaren, terwijl er ook een risico bestaat op belangenverstrengeling en integriteitsschendingen tussen de oud-bewindspersoon en de zittende bewindspersoon. De indiener</w:t>
      </w:r>
      <w:r w:rsidR="008A0E63">
        <w:t xml:space="preserve">s stellen </w:t>
      </w:r>
      <w:r w:rsidRPr="0062256C">
        <w:t xml:space="preserve">daarom voor het zakelijk contact tussen de oud-bewindspersoon en de zittende bewindspersoon toe te voegen aan de afkoelperiode. Hierbij is het contact dat voortkomt uit de functieoverdracht tussen de oud-bewindspersoon en de nieuwe bewindspersoon uitgezonderd.  </w:t>
      </w:r>
    </w:p>
    <w:p w:rsidRPr="00EA69AC" w:rsidR="005B1DCC" w:rsidP="00BF623B" w:rsidRDefault="005B1DCC" w14:paraId="2506CE80" w14:textId="77777777"/>
    <w:p w:rsidR="00B4708A" w:rsidP="00EA1CE4" w:rsidRDefault="00241A7F" w14:paraId="112CD93F" w14:textId="72A5DBEF">
      <w:r>
        <w:t>Van Nispen</w:t>
      </w:r>
    </w:p>
    <w:p w:rsidRPr="00EA69AC" w:rsidR="0064450E" w:rsidP="00EA1CE4" w:rsidRDefault="0064450E" w14:paraId="157B8C85" w14:textId="2DB3FFFD">
      <w:r>
        <w:t>Sneller</w:t>
      </w:r>
    </w:p>
    <w:sectPr w:rsidRPr="00EA69AC" w:rsidR="0064450E" w:rsidSect="00EA1CE4">
      <w:endnotePr>
        <w:numFmt w:val="decimal"/>
      </w:endnotePr>
      <w:pgSz w:w="11906" w:h="16838"/>
      <w:pgMar w:top="360" w:right="566" w:bottom="1417" w:left="993" w:header="360" w:footer="1440" w:gutter="0"/>
      <w:pgNumType w:start="1"/>
      <w:cols w:space="708"/>
      <w:noEndnote/>
      <w:paperSrc w:first="4" w:other="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0AD82" w14:textId="77777777" w:rsidR="00241A7F" w:rsidRDefault="00241A7F">
      <w:pPr>
        <w:spacing w:line="20" w:lineRule="exact"/>
      </w:pPr>
    </w:p>
  </w:endnote>
  <w:endnote w:type="continuationSeparator" w:id="0">
    <w:p w14:paraId="698EAE57" w14:textId="77777777" w:rsidR="00241A7F" w:rsidRDefault="00241A7F">
      <w:pPr>
        <w:pStyle w:val="Amendement"/>
      </w:pPr>
      <w:r>
        <w:rPr>
          <w:b w:val="0"/>
        </w:rPr>
        <w:t xml:space="preserve"> </w:t>
      </w:r>
    </w:p>
  </w:endnote>
  <w:endnote w:type="continuationNotice" w:id="1">
    <w:p w14:paraId="598244BC" w14:textId="77777777" w:rsidR="00241A7F" w:rsidRDefault="00241A7F">
      <w:pPr>
        <w:pStyle w:val="Amendement"/>
      </w:pPr>
      <w:r>
        <w:rPr>
          <w:b w:val="0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A399E" w14:textId="77777777" w:rsidR="00241A7F" w:rsidRDefault="00241A7F">
      <w:pPr>
        <w:pStyle w:val="Amendement"/>
      </w:pPr>
      <w:r>
        <w:rPr>
          <w:b w:val="0"/>
        </w:rPr>
        <w:separator/>
      </w:r>
    </w:p>
  </w:footnote>
  <w:footnote w:type="continuationSeparator" w:id="0">
    <w:p w14:paraId="0F11AB1A" w14:textId="77777777" w:rsidR="00241A7F" w:rsidRDefault="00241A7F">
      <w:r>
        <w:continuationSeparator/>
      </w:r>
    </w:p>
  </w:footnote>
  <w:footnote w:id="1">
    <w:p w14:paraId="4414FB6B" w14:textId="049B6E92" w:rsidR="008A0E63" w:rsidRDefault="008A0E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90AC2">
        <w:rPr>
          <w:sz w:val="20"/>
        </w:rPr>
        <w:t>Vervanging in verband met een wijziging in de ondertekening</w:t>
      </w:r>
      <w:r>
        <w:rPr>
          <w:sz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1109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7F"/>
    <w:rsid w:val="0007471A"/>
    <w:rsid w:val="000D17BF"/>
    <w:rsid w:val="001471DB"/>
    <w:rsid w:val="00157CAF"/>
    <w:rsid w:val="001656EE"/>
    <w:rsid w:val="0016653D"/>
    <w:rsid w:val="001D56AF"/>
    <w:rsid w:val="001E0E21"/>
    <w:rsid w:val="002114E1"/>
    <w:rsid w:val="00212E0A"/>
    <w:rsid w:val="002153B0"/>
    <w:rsid w:val="0021777F"/>
    <w:rsid w:val="00241A7F"/>
    <w:rsid w:val="00241DD0"/>
    <w:rsid w:val="002A0713"/>
    <w:rsid w:val="003C21AC"/>
    <w:rsid w:val="003C5218"/>
    <w:rsid w:val="003C7876"/>
    <w:rsid w:val="003E2308"/>
    <w:rsid w:val="003E2F98"/>
    <w:rsid w:val="0042574B"/>
    <w:rsid w:val="004330ED"/>
    <w:rsid w:val="00481C91"/>
    <w:rsid w:val="004911E3"/>
    <w:rsid w:val="00497D57"/>
    <w:rsid w:val="004A1E29"/>
    <w:rsid w:val="004A7DD4"/>
    <w:rsid w:val="004B50D8"/>
    <w:rsid w:val="004B5B90"/>
    <w:rsid w:val="00501109"/>
    <w:rsid w:val="005473A8"/>
    <w:rsid w:val="005703C9"/>
    <w:rsid w:val="00597703"/>
    <w:rsid w:val="005A6097"/>
    <w:rsid w:val="005B1DCC"/>
    <w:rsid w:val="005B2042"/>
    <w:rsid w:val="005B7323"/>
    <w:rsid w:val="005C149C"/>
    <w:rsid w:val="005C25B9"/>
    <w:rsid w:val="0062256C"/>
    <w:rsid w:val="006267E6"/>
    <w:rsid w:val="0064450E"/>
    <w:rsid w:val="006558D2"/>
    <w:rsid w:val="00672D25"/>
    <w:rsid w:val="006738BC"/>
    <w:rsid w:val="006D3E69"/>
    <w:rsid w:val="006E0971"/>
    <w:rsid w:val="007709F6"/>
    <w:rsid w:val="00783215"/>
    <w:rsid w:val="007965FC"/>
    <w:rsid w:val="007D2608"/>
    <w:rsid w:val="007E5E5A"/>
    <w:rsid w:val="007F2182"/>
    <w:rsid w:val="008164E5"/>
    <w:rsid w:val="00830081"/>
    <w:rsid w:val="008467D7"/>
    <w:rsid w:val="00852541"/>
    <w:rsid w:val="00865D47"/>
    <w:rsid w:val="0088452C"/>
    <w:rsid w:val="008A0E63"/>
    <w:rsid w:val="008D7DCB"/>
    <w:rsid w:val="00903DAF"/>
    <w:rsid w:val="009055DB"/>
    <w:rsid w:val="00905ECB"/>
    <w:rsid w:val="0096165D"/>
    <w:rsid w:val="00993E91"/>
    <w:rsid w:val="009A409F"/>
    <w:rsid w:val="009B5845"/>
    <w:rsid w:val="009C0C1F"/>
    <w:rsid w:val="009C2CE8"/>
    <w:rsid w:val="00A10505"/>
    <w:rsid w:val="00A1288B"/>
    <w:rsid w:val="00A53203"/>
    <w:rsid w:val="00A772EB"/>
    <w:rsid w:val="00B01BA6"/>
    <w:rsid w:val="00B4708A"/>
    <w:rsid w:val="00BF623B"/>
    <w:rsid w:val="00C035D4"/>
    <w:rsid w:val="00C679BF"/>
    <w:rsid w:val="00C81BBD"/>
    <w:rsid w:val="00CD3132"/>
    <w:rsid w:val="00CE27CD"/>
    <w:rsid w:val="00D134F3"/>
    <w:rsid w:val="00D47D01"/>
    <w:rsid w:val="00D774B3"/>
    <w:rsid w:val="00DD35A5"/>
    <w:rsid w:val="00DE2948"/>
    <w:rsid w:val="00DF68BE"/>
    <w:rsid w:val="00DF712A"/>
    <w:rsid w:val="00E25DF4"/>
    <w:rsid w:val="00E3485D"/>
    <w:rsid w:val="00E6619B"/>
    <w:rsid w:val="00E908D7"/>
    <w:rsid w:val="00EA1CE4"/>
    <w:rsid w:val="00EA69AC"/>
    <w:rsid w:val="00EB40A1"/>
    <w:rsid w:val="00EC3112"/>
    <w:rsid w:val="00ED5E57"/>
    <w:rsid w:val="00EE1BD8"/>
    <w:rsid w:val="00F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1E1780"/>
  <w15:docId w15:val="{B995274D-15D8-4EBD-8E99-18A8193A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pPr>
      <w:widowControl w:val="0"/>
    </w:pPr>
    <w:rPr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Standaard"/>
    <w:semiHidden/>
  </w:style>
  <w:style w:type="character" w:styleId="Eindnootmarkering">
    <w:name w:val="endnote reference"/>
    <w:semiHidden/>
    <w:rPr>
      <w:sz w:val="20"/>
      <w:vertAlign w:val="superscript"/>
    </w:rPr>
  </w:style>
  <w:style w:type="paragraph" w:styleId="Voetnoottekst">
    <w:name w:val="footnote text"/>
    <w:basedOn w:val="Standaard"/>
    <w:semiHidden/>
  </w:style>
  <w:style w:type="character" w:customStyle="1" w:styleId="Voetnootverwijzing">
    <w:name w:val="Voetnootverwijzing"/>
    <w:rPr>
      <w:sz w:val="20"/>
      <w:vertAlign w:val="superscript"/>
    </w:rPr>
  </w:style>
  <w:style w:type="paragraph" w:customStyle="1" w:styleId="wetsvoorstel">
    <w:name w:val="wetsvoorstel"/>
    <w:pPr>
      <w:widowControl w:val="0"/>
      <w:tabs>
        <w:tab w:val="left" w:pos="-1440"/>
        <w:tab w:val="left" w:pos="-720"/>
        <w:tab w:val="left" w:pos="0"/>
        <w:tab w:val="left" w:pos="288"/>
        <w:tab w:val="left" w:pos="720"/>
      </w:tabs>
      <w:suppressAutoHyphens/>
    </w:pPr>
    <w:rPr>
      <w:rFonts w:ascii="Courier New" w:hAnsi="Courier New"/>
      <w:sz w:val="24"/>
    </w:rPr>
  </w:style>
  <w:style w:type="character" w:customStyle="1" w:styleId="Alineanummer1">
    <w:name w:val="Alineanummer 1"/>
    <w:rPr>
      <w:sz w:val="20"/>
    </w:rPr>
  </w:style>
  <w:style w:type="character" w:customStyle="1" w:styleId="Bibliografie1">
    <w:name w:val="Bibliografie1"/>
    <w:rPr>
      <w:sz w:val="20"/>
    </w:rPr>
  </w:style>
  <w:style w:type="character" w:customStyle="1" w:styleId="Dokument5">
    <w:name w:val="Dokument 5"/>
    <w:rPr>
      <w:sz w:val="20"/>
    </w:rPr>
  </w:style>
  <w:style w:type="character" w:customStyle="1" w:styleId="Dokument6">
    <w:name w:val="Dokument 6"/>
    <w:rPr>
      <w:sz w:val="20"/>
    </w:rPr>
  </w:style>
  <w:style w:type="character" w:customStyle="1" w:styleId="Dokument4">
    <w:name w:val="Dokument 4"/>
    <w:rPr>
      <w:b/>
      <w:i/>
    </w:rPr>
  </w:style>
  <w:style w:type="character" w:customStyle="1" w:styleId="Alineanummer2">
    <w:name w:val="Alineanummer 2"/>
    <w:rPr>
      <w:sz w:val="20"/>
    </w:rPr>
  </w:style>
  <w:style w:type="paragraph" w:customStyle="1" w:styleId="Dokument1">
    <w:name w:val="Dokument 1"/>
    <w:pPr>
      <w:keepNext/>
      <w:keepLines/>
      <w:widowControl w:val="0"/>
      <w:tabs>
        <w:tab w:val="left" w:pos="-720"/>
      </w:tabs>
      <w:suppressAutoHyphens/>
    </w:pPr>
    <w:rPr>
      <w:rFonts w:ascii="Courier New" w:hAnsi="Courier New"/>
      <w:sz w:val="24"/>
    </w:rPr>
  </w:style>
  <w:style w:type="character" w:customStyle="1" w:styleId="Alineanummer3">
    <w:name w:val="Alineanummer 3"/>
    <w:rPr>
      <w:sz w:val="20"/>
    </w:rPr>
  </w:style>
  <w:style w:type="character" w:customStyle="1" w:styleId="Alineanummer4">
    <w:name w:val="Alineanummer 4"/>
    <w:rPr>
      <w:sz w:val="20"/>
    </w:rPr>
  </w:style>
  <w:style w:type="character" w:customStyle="1" w:styleId="Alineanummer5">
    <w:name w:val="Alineanummer 5"/>
    <w:rPr>
      <w:sz w:val="20"/>
    </w:rPr>
  </w:style>
  <w:style w:type="character" w:customStyle="1" w:styleId="Alineanummer6">
    <w:name w:val="Alineanummer 6"/>
    <w:rPr>
      <w:sz w:val="20"/>
    </w:rPr>
  </w:style>
  <w:style w:type="character" w:customStyle="1" w:styleId="Dokument2">
    <w:name w:val="Dokument 2"/>
    <w:rPr>
      <w:rFonts w:ascii="Courier New" w:hAnsi="Courier New"/>
    </w:rPr>
  </w:style>
  <w:style w:type="character" w:customStyle="1" w:styleId="Alineanummer7">
    <w:name w:val="Alineanummer 7"/>
    <w:rPr>
      <w:sz w:val="20"/>
    </w:rPr>
  </w:style>
  <w:style w:type="character" w:customStyle="1" w:styleId="Alineanummer8">
    <w:name w:val="Alineanummer 8"/>
    <w:rPr>
      <w:sz w:val="20"/>
    </w:rPr>
  </w:style>
  <w:style w:type="character" w:customStyle="1" w:styleId="Techninit">
    <w:name w:val="Techn init"/>
    <w:rPr>
      <w:rFonts w:ascii="Courier New" w:hAnsi="Courier New"/>
    </w:rPr>
  </w:style>
  <w:style w:type="character" w:customStyle="1" w:styleId="Dokuinit">
    <w:name w:val="Doku init"/>
    <w:rPr>
      <w:sz w:val="20"/>
    </w:rPr>
  </w:style>
  <w:style w:type="character" w:customStyle="1" w:styleId="Dokument3">
    <w:name w:val="Dokument 3"/>
    <w:rPr>
      <w:rFonts w:ascii="Courier New" w:hAnsi="Courier New"/>
    </w:rPr>
  </w:style>
  <w:style w:type="character" w:customStyle="1" w:styleId="Dokument7">
    <w:name w:val="Dokument 7"/>
    <w:rPr>
      <w:sz w:val="20"/>
    </w:rPr>
  </w:style>
  <w:style w:type="character" w:customStyle="1" w:styleId="Dokument8">
    <w:name w:val="Dokument 8"/>
    <w:rPr>
      <w:sz w:val="20"/>
    </w:rPr>
  </w:style>
  <w:style w:type="character" w:customStyle="1" w:styleId="Technisch1">
    <w:name w:val="Technisch 1"/>
    <w:rPr>
      <w:rFonts w:ascii="Courier New" w:hAnsi="Courier New"/>
    </w:rPr>
  </w:style>
  <w:style w:type="character" w:customStyle="1" w:styleId="Technisch2">
    <w:name w:val="Technisch 2"/>
    <w:rPr>
      <w:rFonts w:ascii="Courier New" w:hAnsi="Courier New"/>
    </w:rPr>
  </w:style>
  <w:style w:type="character" w:customStyle="1" w:styleId="Technisch3">
    <w:name w:val="Technisch 3"/>
    <w:rPr>
      <w:rFonts w:ascii="Courier New" w:hAnsi="Courier New"/>
    </w:rPr>
  </w:style>
  <w:style w:type="character" w:customStyle="1" w:styleId="Technisch5">
    <w:name w:val="Technisch 5"/>
    <w:rPr>
      <w:sz w:val="20"/>
    </w:rPr>
  </w:style>
  <w:style w:type="character" w:customStyle="1" w:styleId="Technisch6">
    <w:name w:val="Technisch 6"/>
    <w:rPr>
      <w:sz w:val="20"/>
    </w:rPr>
  </w:style>
  <w:style w:type="character" w:customStyle="1" w:styleId="Technisch7">
    <w:name w:val="Technisch 7"/>
    <w:rPr>
      <w:sz w:val="20"/>
    </w:rPr>
  </w:style>
  <w:style w:type="character" w:customStyle="1" w:styleId="Technisch4">
    <w:name w:val="Technisch 4"/>
    <w:rPr>
      <w:sz w:val="20"/>
    </w:rPr>
  </w:style>
  <w:style w:type="character" w:customStyle="1" w:styleId="Technisch8">
    <w:name w:val="Technisch 8"/>
    <w:rPr>
      <w:sz w:val="20"/>
    </w:rPr>
  </w:style>
  <w:style w:type="paragraph" w:customStyle="1" w:styleId="Amendement">
    <w:name w:val="Amendement"/>
    <w:pPr>
      <w:widowControl w:val="0"/>
      <w:tabs>
        <w:tab w:val="left" w:pos="3310"/>
        <w:tab w:val="left" w:pos="3600"/>
      </w:tabs>
      <w:suppressAutoHyphens/>
    </w:pPr>
    <w:rPr>
      <w:rFonts w:ascii="Courier New" w:hAnsi="Courier New"/>
      <w:b/>
      <w:sz w:val="24"/>
    </w:rPr>
  </w:style>
  <w:style w:type="paragraph" w:customStyle="1" w:styleId="inhopg1">
    <w:name w:val="inhopg 1"/>
    <w:basedOn w:val="Standaard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customStyle="1" w:styleId="inhopg2">
    <w:name w:val="inhopg 2"/>
    <w:basedOn w:val="Standaard"/>
    <w:pPr>
      <w:tabs>
        <w:tab w:val="right" w:leader="dot" w:pos="9360"/>
      </w:tabs>
      <w:suppressAutoHyphens/>
      <w:ind w:left="1440" w:right="720" w:hanging="720"/>
    </w:pPr>
  </w:style>
  <w:style w:type="paragraph" w:customStyle="1" w:styleId="inhopg3">
    <w:name w:val="inhopg 3"/>
    <w:basedOn w:val="Standaard"/>
    <w:pPr>
      <w:tabs>
        <w:tab w:val="right" w:leader="dot" w:pos="9360"/>
      </w:tabs>
      <w:suppressAutoHyphens/>
      <w:ind w:left="2160" w:right="720" w:hanging="720"/>
    </w:pPr>
  </w:style>
  <w:style w:type="paragraph" w:customStyle="1" w:styleId="inhopg4">
    <w:name w:val="inhopg 4"/>
    <w:basedOn w:val="Standaard"/>
    <w:pPr>
      <w:tabs>
        <w:tab w:val="right" w:leader="dot" w:pos="9360"/>
      </w:tabs>
      <w:suppressAutoHyphens/>
      <w:ind w:left="2880" w:right="720" w:hanging="720"/>
    </w:pPr>
  </w:style>
  <w:style w:type="paragraph" w:customStyle="1" w:styleId="inhopg5">
    <w:name w:val="inhopg 5"/>
    <w:basedOn w:val="Standaard"/>
    <w:pPr>
      <w:tabs>
        <w:tab w:val="right" w:leader="dot" w:pos="9360"/>
      </w:tabs>
      <w:suppressAutoHyphens/>
      <w:ind w:left="3600" w:right="720" w:hanging="720"/>
    </w:pPr>
  </w:style>
  <w:style w:type="paragraph" w:customStyle="1" w:styleId="inhopg6">
    <w:name w:val="inhopg 6"/>
    <w:basedOn w:val="Standaard"/>
    <w:pPr>
      <w:tabs>
        <w:tab w:val="right" w:pos="9360"/>
      </w:tabs>
      <w:suppressAutoHyphens/>
      <w:ind w:left="720" w:hanging="720"/>
    </w:pPr>
  </w:style>
  <w:style w:type="paragraph" w:customStyle="1" w:styleId="inhopg7">
    <w:name w:val="inhopg 7"/>
    <w:basedOn w:val="Standaard"/>
    <w:pPr>
      <w:suppressAutoHyphens/>
      <w:ind w:left="720" w:hanging="720"/>
    </w:pPr>
  </w:style>
  <w:style w:type="paragraph" w:customStyle="1" w:styleId="inhopg8">
    <w:name w:val="inhopg 8"/>
    <w:basedOn w:val="Standaard"/>
    <w:pPr>
      <w:tabs>
        <w:tab w:val="right" w:pos="9360"/>
      </w:tabs>
      <w:suppressAutoHyphens/>
      <w:ind w:left="720" w:hanging="720"/>
    </w:pPr>
  </w:style>
  <w:style w:type="paragraph" w:customStyle="1" w:styleId="inhopg9">
    <w:name w:val="inhopg 9"/>
    <w:basedOn w:val="Standaard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Standaard"/>
    <w:next w:val="Standaard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Standaard"/>
    <w:next w:val="Standaard"/>
    <w:semiHidden/>
    <w:pPr>
      <w:tabs>
        <w:tab w:val="right" w:leader="dot" w:pos="9360"/>
      </w:tabs>
      <w:suppressAutoHyphens/>
      <w:ind w:left="1440" w:right="720" w:hanging="720"/>
    </w:pPr>
  </w:style>
  <w:style w:type="paragraph" w:customStyle="1" w:styleId="bronvermelding">
    <w:name w:val="bronvermelding"/>
    <w:basedOn w:val="Standaard"/>
    <w:pPr>
      <w:tabs>
        <w:tab w:val="right" w:pos="9360"/>
      </w:tabs>
      <w:suppressAutoHyphens/>
    </w:pPr>
  </w:style>
  <w:style w:type="paragraph" w:customStyle="1" w:styleId="bijschrift">
    <w:name w:val="bijschrift"/>
    <w:basedOn w:val="Standaard"/>
  </w:style>
  <w:style w:type="character" w:customStyle="1" w:styleId="EquationCaption">
    <w:name w:val="_Equation Caption"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link w:val="BallontekstChar"/>
    <w:rsid w:val="006267E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6267E6"/>
    <w:rPr>
      <w:rFonts w:ascii="Tahoma" w:hAnsi="Tahoma" w:cs="Tahoma"/>
      <w:sz w:val="16"/>
      <w:szCs w:val="16"/>
    </w:rPr>
  </w:style>
  <w:style w:type="character" w:styleId="Voetnootmarkering">
    <w:name w:val="footnote reference"/>
    <w:basedOn w:val="Standaardalinea-lettertype"/>
    <w:semiHidden/>
    <w:unhideWhenUsed/>
    <w:rsid w:val="008A0E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riffieSjablonen\amt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Pages>1</ap:Pages>
  <ap:Words>185</ap:Words>
  <ap:Characters>1212</ap:Characters>
  <ap:DocSecurity>0</ap:DocSecurity>
  <ap:Lines>10</ap:Lines>
  <ap:Paragraphs>2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amt</vt:lpstr>
    </vt:vector>
  </ap:TitlesOfParts>
  <ap:LinksUpToDate>false</ap:LinksUpToDate>
  <ap:CharactersWithSpaces>1395</ap:CharactersWithSpaces>
  <ap:SharedDoc>false</ap:SharedDoc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/>
  <revision/>
  <lastPrinted>2005-08-22T11:50:00.0000000Z</lastPrinted>
  <dcterms:created xsi:type="dcterms:W3CDTF">2025-04-07T13:00:00.0000000Z</dcterms:created>
  <dcterms:modified xsi:type="dcterms:W3CDTF">2025-04-07T13:02:00.0000000Z</dcterms:modified>
  <dc:description>------------------------</dc:description>
  <dc:subject/>
  <keywords/>
  <version/>
  <category/>
</coreProperties>
</file>