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ormorant Garamond" w:cs="Cormorant Garamond" w:eastAsia="Cormorant Garamond" w:hAnsi="Cormorant Garamond"/>
          <w:sz w:val="56"/>
          <w:szCs w:val="56"/>
        </w:rPr>
        <w:t xml:space="preserve">Angielska poezja cmentarna</w:t>
      </w:r>
    </w:p>
    <w:p>
      <w:pPr>
        <w:spacing w:after="600"/>
        <w:jc w:val="center"/>
      </w:pPr>
      <w:r>
        <w:rPr>
          <w:rFonts w:ascii="Cormorant Garamond" w:cs="Cormorant Garamond" w:eastAsia="Cormorant Garamond" w:hAnsi="Cormorant Garamond"/>
          <w:i/>
          <w:iCs/>
          <w:sz w:val="32"/>
          <w:szCs w:val="32"/>
        </w:rPr>
        <w:t xml:space="preserve">Antologia dwujęzyczna</w:t>
      </w:r>
    </w:p>
    <w:p>
      <w:pPr>
        <w:jc w:val="center"/>
      </w:pPr>
      <w:r>
        <w:rPr>
          <w:color w:val="8A7A5A"/>
          <w:sz w:val="20"/>
          <w:szCs w:val="20"/>
        </w:rPr>
        <w:t xml:space="preserve">tytuł roboczy</w:t>
      </w:r>
    </w:p>
    <w:p>
      <w:pPr>
        <w:spacing w:before="3000"/>
        <w:jc w:val="center"/>
      </w:pPr>
      <w:r>
        <w:rPr>
          <w:sz w:val="20"/>
          <w:szCs w:val="20"/>
        </w:rPr>
        <w:t xml:space="preserve">Wersja robocza do korekty · 2026-10-08</w:t>
      </w:r>
    </w:p>
    <w:p>
      <w:pPr>
        <w:jc w:val="center"/>
      </w:pPr>
      <w:r>
        <w:rPr>
          <w:sz w:val="20"/>
          <w:szCs w:val="20"/>
        </w:rPr>
        <w:t xml:space="preserve">Przekład roboczy: Claude (Anthropic); redakcja: Tomek</w:t>
      </w:r>
    </w:p>
    <w:p>
      <w:pPr>
        <w:spacing w:before="400"/>
        <w:jc w:val="center"/>
      </w:pPr>
      <w:r>
        <w:rPr>
          <w:color w:val="6B5D45"/>
          <w:sz w:val="18"/>
          <w:szCs w:val="18"/>
        </w:rPr>
        <w:t xml:space="preserve">Żółte wyróżnienia </w:t>
      </w:r>
      <w:r>
        <w:rPr>
          <w:color w:val="6B5D45"/>
          <w:sz w:val="18"/>
          <w:szCs w:val="18"/>
          <w:shd w:fill="FFF0A0" w:color="auto" w:val="clear"/>
        </w:rPr>
        <w:t xml:space="preserve">[do weryfikacji]</w:t>
      </w:r>
      <w:r>
        <w:rPr>
          <w:color w:val="6B5D45"/>
          <w:sz w:val="18"/>
          <w:szCs w:val="18"/>
        </w:rPr>
        <w:t xml:space="preserve"> oznaczają miejsca niepewne. Ramki w kolorze pergaminu to miejsca na ilustracje.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2400"/>
      </w:pPr>
    </w:p>
    <w:p>
      <w:pPr>
        <w:pBdr>
          <w:top w:val="dashed" w:color="A08C6A" w:sz="6" w:space="4"/>
          <w:bottom w:val="dashed" w:color="A08C6A" w:sz="6" w:space="4"/>
        </w:pBdr>
        <w:shd w:fill="F3EBDD" w:color="auto" w:val="clear"/>
        <w:spacing w:after="200" w:before="200"/>
        <w:jc w:val="center"/>
      </w:pPr>
      <w:r>
        <w:rPr>
          <w:i/>
          <w:iCs/>
          <w:color w:val="5A4A2A"/>
        </w:rPr>
        <w:t xml:space="preserve">[ILUSTRACJA – otwarcie rozdziału, lewa strona: C. D. Friedrich, „Opactwo w dębowym lesie” (1809–10); do weryfikacji na Wikimedia Commons]</w:t>
      </w:r>
    </w:p>
    <w:p>
      <w:r>
        <w:br w:type="page"/>
      </w:r>
    </w:p>
    <w:p>
      <w:pPr>
        <w:spacing w:before="4000"/>
        <w:jc w:val="center"/>
      </w:pPr>
      <w:r>
        <w:rPr>
          <w:rFonts w:ascii="Cormorant Garamond" w:cs="Cormorant Garamond" w:eastAsia="Cormorant Garamond" w:hAnsi="Cormorant Garamond"/>
          <w:color w:val="8A7A5A"/>
          <w:sz w:val="72"/>
          <w:szCs w:val="72"/>
        </w:rPr>
        <w:t xml:space="preserve">II</w:t>
      </w:r>
    </w:p>
    <w:p>
      <w:pPr>
        <w:pStyle w:val="Heading1"/>
        <w:jc w:val="center"/>
      </w:pPr>
      <w:r>
        <w:rPr>
          <w:rFonts w:ascii="Cormorant Garamond" w:cs="Cormorant Garamond" w:eastAsia="Cormorant Garamond" w:hAnsi="Cormorant Garamond"/>
        </w:rPr>
        <w:t xml:space="preserve">Ojcowie założyciele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/>
        <w:jc w:val="center"/>
      </w:pPr>
      <w:r>
        <w:rPr>
          <w:rFonts w:ascii="Cormorant Garamond" w:cs="Cormorant Garamond" w:eastAsia="Cormorant Garamond" w:hAnsi="Cormorant Garamond"/>
          <w:color w:val="8A7A5A"/>
          <w:sz w:val="40"/>
          <w:szCs w:val="40"/>
        </w:rPr>
        <w:t xml:space="preserve">6</w:t>
      </w:r>
    </w:p>
    <w:p>
      <w:pPr>
        <w:spacing w:after="160"/>
        <w:jc w:val="center"/>
      </w:pPr>
      <w:r>
        <w:rPr>
          <w:smallCaps/>
          <w:sz w:val="24"/>
          <w:szCs w:val="24"/>
        </w:rPr>
        <w:t xml:space="preserve">Thomas Parnell (1679–1718)</w:t>
      </w:r>
    </w:p>
    <w:p>
      <w:pPr>
        <w:pStyle w:val="Heading1"/>
        <w:spacing w:after="60"/>
        <w:jc w:val="center"/>
      </w:pPr>
      <w:r>
        <w:rPr>
          <w:rFonts w:ascii="Cormorant Garamond" w:cs="Cormorant Garamond" w:eastAsia="Cormorant Garamond" w:hAnsi="Cormorant Garamond"/>
        </w:rPr>
        <w:t xml:space="preserve">Nocne rozmyślanie o śmierci</w:t>
      </w:r>
    </w:p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i/>
          <w:iCs/>
          <w:sz w:val="28"/>
          <w:szCs w:val="28"/>
        </w:rPr>
        <w:t xml:space="preserve">A Night-Piece on Death</w:t>
      </w:r>
    </w:p>
    <w:p>
      <w:pPr>
        <w:spacing w:after="480"/>
        <w:jc w:val="center"/>
      </w:pPr>
      <w:r>
        <w:rPr>
          <w:color w:val="8A7A5A"/>
          <w:sz w:val="20"/>
          <w:szCs w:val="20"/>
        </w:rPr>
        <w:t xml:space="preserve">wyd. pośmiertnie 1722 (w sprzedaży od grudnia 1721) · 90 wersów</w:t>
      </w:r>
    </w:p>
    <w:p>
      <w:pPr>
        <w:spacing w:after="60"/>
        <w:ind w:left="4300"/>
      </w:pPr>
      <w:r>
        <w:rPr>
          <w:i/>
          <w:iCs/>
        </w:rPr>
        <w:t xml:space="preserve">La préméditation de la mort est préméditation de la liberté.</w:t>
      </w:r>
    </w:p>
    <w:p>
      <w:pPr>
        <w:spacing w:after="60"/>
        <w:ind w:left="4300"/>
      </w:pPr>
      <w:r>
        <w:t xml:space="preserve">Rozważać zawczasu śmierć – to rozważać wolność.</w:t>
      </w:r>
    </w:p>
    <w:p>
      <w:pPr>
        <w:spacing w:after="360"/>
        <w:ind w:left="4300"/>
      </w:pPr>
      <w:r>
        <w:rPr>
          <w:color w:val="6B5D45"/>
          <w:sz w:val="18"/>
          <w:szCs w:val="18"/>
        </w:rPr>
        <w:t xml:space="preserve">— Michel de Montaigne, Próby (Essais), ks. I, rozdz. 20: „Que philosopher c'est apprendre à mourir” (przekł. roboczy)</w:t>
      </w:r>
    </w:p>
    <w:p>
      <w:pPr>
        <w:pStyle w:val="Heading2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Wstęp</w:t>
      </w:r>
    </w:p>
    <w:p>
      <w:pPr>
        <w:spacing w:after="140"/>
        <w:jc w:val="both"/>
      </w:pPr>
      <w:r>
        <w:t xml:space="preserve">Wiersz ukazał się dopiero po śmierci autora, w tomie </w:t>
      </w:r>
      <w:r>
        <w:rPr>
          <w:i/>
          <w:iCs/>
        </w:rPr>
        <w:t xml:space="preserve">Poems on Several Occasions</w:t>
      </w:r>
      <w:r>
        <w:t xml:space="preserve">, który Alexander Pope zebrał i wydał z rękopisów przyjaciela. Na stronie tytułowej widnieje rok 1722, ale książka była w sprzedaży już w grudniu 1721 roku. Kiedy dokładnie wiersz powstał, nie wiadomo </w:t>
      </w:r>
      <w:r>
        <w:rPr>
          <w:b/>
          <w:bCs/>
          <w:shd w:fill="FFF0A0" w:color="auto" w:val="clear"/>
        </w:rPr>
        <w:t xml:space="preserve">[do weryfikacji]</w:t>
      </w:r>
      <w:r>
        <w:t xml:space="preserve">.</w:t>
      </w:r>
    </w:p>
    <w:p>
      <w:pPr>
        <w:spacing w:after="140"/>
        <w:jc w:val="both"/>
      </w:pPr>
      <w:r>
        <w:t xml:space="preserve">Thomas Parnell (1679–1718) był Irlandczykiem, absolwentem Trinity College w Dublinie i duchownym anglikańskiego Kościoła Irlandii, archidiakonem Clogher. Wiele czasu spędzał w Londynie, w kręgu Pope'a i Swifta. Należał do satyrycznego Klubu Scriblerusa, pisywał do „Spectatora” i „Guardiana”, pomagał Pope'owi przy przekładzie </w:t>
      </w:r>
      <w:r>
        <w:rPr>
          <w:i/>
          <w:iCs/>
        </w:rPr>
        <w:t xml:space="preserve">Iliady</w:t>
      </w:r>
      <w:r>
        <w:t xml:space="preserve">. Zmarł w Chester, w drodze do Irlandii, przeżywszy żonę i dzieci. Ten podwójny portret – duchowny i literat z kręgu najbystrzejszych satyryków epoki – dobrze tłumaczy ton wiersza: jest pobożny, ale bez kaznodziejskiej ciężkości, miejscami wręcz ironiczny.</w:t>
      </w:r>
    </w:p>
    <w:p>
      <w:pPr>
        <w:spacing w:after="140"/>
        <w:jc w:val="both"/>
      </w:pPr>
      <w:r>
        <w:rPr>
          <w:b/>
          <w:bCs/>
        </w:rPr>
        <w:t xml:space="preserve">Forma.</w:t>
      </w:r>
      <w:r>
        <w:t xml:space="preserve"> 90 wersów czterostopowca jambicznego, rymowanych parami. To samo metrum, którym Milton napisał „Il Penseroso” (nr 1 w tym tomie). Oliver Goldsmith, przedrukowując wiersz w antologii </w:t>
      </w:r>
      <w:r>
        <w:rPr>
          <w:i/>
          <w:iCs/>
        </w:rPr>
        <w:t xml:space="preserve">The Beauties of English Poesy</w:t>
      </w:r>
      <w:r>
        <w:t xml:space="preserve"> (1767), uznał krótki wers za główną wadę utworu: miał nie przystawać do powagi tematu. Zarazem chwalił naturalność wiersza i trafność rozważań. Dziś ta lekkość wydaje się raczej zaletą: wiersz biegnie szybko, jak nocny spacer.</w:t>
      </w:r>
    </w:p>
    <w:p>
      <w:pPr>
        <w:spacing w:after="140"/>
        <w:jc w:val="both"/>
      </w:pPr>
      <w:r>
        <w:rPr>
          <w:b/>
          <w:bCs/>
        </w:rPr>
        <w:t xml:space="preserve">Budowa.</w:t>
      </w:r>
      <w:r>
        <w:t xml:space="preserve"> Kompozycja przypomina wędrówkę: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1–8: mówiący odkłada przy świecy księgi scholastyków i idzie szukać pewniejszej mądrości „w dole”, wśród zmarłych;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9–28: nocny pejzaż – niebo, księżyc, jezioro z odbiciem gwiazd, cmentarz nad wodą i wieża kościoła;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29–46: przegląd grobów według stanu: bezimienne kopce ubogich, płaskie płyty „średnich” ludzi, marmurowe grobowce możnych;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47–52: wizja – księżyc blednie, ziemia się otwiera, wstają cienie;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53–90: spośród kości przemawia Śmierć.</w:t>
      </w:r>
    </w:p>
    <w:p>
      <w:pPr>
        <w:spacing w:after="140"/>
        <w:jc w:val="both"/>
      </w:pPr>
      <w:r>
        <w:t xml:space="preserve">Śmierć mówi rzecz zaskakującą. To ludzie zrobili z niej „Króla Trwogi”, sama jest tylko drogą do Boga. Cały pogrzebowy przepych – kiry, karawany, pióropusze, herby – nie służy ani ciału, ani duszy. Wiersz zamyka porównanie duszy do więźnia, który po latach wychodzi na słońce.</w:t>
      </w:r>
    </w:p>
    <w:p>
      <w:pPr>
        <w:spacing w:after="140"/>
        <w:jc w:val="both"/>
      </w:pPr>
      <w:r>
        <w:rPr>
          <w:b/>
          <w:bCs/>
        </w:rPr>
        <w:t xml:space="preserve">Miejsce w nurcie.</w:t>
      </w:r>
      <w:r>
        <w:t xml:space="preserve"> Utwór powszechnie uchodzi za pierwszy wiersz szkoły cmentarnej. Bonamy Dobrée (1959) sugerował, że od niego zaczyna się faza poezji grobowej, którą kontynuowali Young i Blair (oba poematy w tym rozdziale). Według Britanniki wiersz miał wpłynąć na Elegię Graya (nr 13). Warto porównać przegląd grobów u Parnella z grobami wieśniaków i urnami możnych u Graya. Samuel Johnson w </w:t>
      </w:r>
      <w:r>
        <w:rPr>
          <w:i/>
          <w:iCs/>
        </w:rPr>
        <w:t xml:space="preserve">Żywotach poetów</w:t>
      </w:r>
      <w:r>
        <w:t xml:space="preserve"> zestawił oba utwory i przyznał pierwszeństwo Grayowi </w:t>
      </w:r>
      <w:r>
        <w:rPr>
          <w:b/>
          <w:bCs/>
          <w:shd w:fill="FFF0A0" w:color="auto" w:val="clear"/>
        </w:rPr>
        <w:t xml:space="preserve">[do weryfikacji: dokładne brzmienie]</w:t>
      </w:r>
      <w:r>
        <w:t xml:space="preserve">. W XVIII wieku wiersz krążył szeroko po antologiach i miscelaneach. Polskiego przekładu nie znaleziono.</w:t>
      </w:r>
    </w:p>
    <w:p>
      <w:pPr>
        <w:spacing w:after="140"/>
        <w:jc w:val="both"/>
      </w:pPr>
      <w:r>
        <w:rPr>
          <w:b/>
          <w:bCs/>
        </w:rPr>
        <w:t xml:space="preserve">Na co zwrócić uwagę: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Światło.</w:t>
      </w:r>
      <w:r>
        <w:t xml:space="preserve"> Od drżącej, sinej świecy przez gwiazdy, sine lśnienia i bladnący księżyc aż do „blasku dnia” w ostatnim wersie. Wiersz dosłownie przechodzi z nocy w dzień.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 Śmierci.</w:t>
      </w:r>
      <w:r>
        <w:t xml:space="preserve"> Zamiast grozy jest trzeźwy wykład i nagana („Głupcy!”). Późniejsza poezja cmentarna, a za nią powieść gotycka, częściej wybierały grozę. Parnell wybiera pocieszenie.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Tekst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19"/>
        <w:gridCol w:w="4419"/>
        <w:gridCol w:w="40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C9BBA0" w:sz="4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i/>
                <w:iCs/>
                <w:color w:val="8A7A5A"/>
                <w:sz w:val="18"/>
                <w:szCs w:val="18"/>
              </w:rPr>
              <w:t xml:space="preserve">Oryginał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single" w:color="C9BBA0" w:sz="4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i/>
                <w:iCs/>
                <w:color w:val="8A7A5A"/>
                <w:sz w:val="18"/>
                <w:szCs w:val="18"/>
              </w:rPr>
              <w:t xml:space="preserve">Przekład roboczy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By the blue taper's trembling light,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 sinej świecy drżącym blasku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No more I waste the wakeful night,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Już nie czuwam aż do brzasku,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Intent with endless view to pore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Ślęcząc nad księgami wieków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schoolmen and the sages o'er: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Wśród mędrców i scholastyków: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Their books from wisdom widely stray,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 dala od mądrości błądzą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Or point at best the longest way.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Lub najdłuższą drogą wiodą.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I'll seek a readier path, and go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Szukam ścieżki prostszej: zejdę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Where wisdom's surely taught below.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Tam, gdzie mądrość pewną znajdę.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How deep yon azure dyes the sky!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Jak lazur nieba ciemnieje,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10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Where orbs of gold unnumber'd lie,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Gdzie kul złotych mrowie tleje,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While through their ranks in silver pride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 przez ich szyk w srebrnej dumie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nether crescent seems to glide!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Niski sierp księżyca sunie!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slumb'ring breeze forgets to breathe,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Senny wiatr zapomniał tchnienia,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lake is smooth and clear beneath,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Toń w dole czysta, bez drżenia,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15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Where once again the spangled show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Gdzie znów gwiazd lśniące cekiny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Descends to meet our eyes below.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Schodzą ku oczom w głębiny.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grounds which on the right aspire,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Po prawej stok, co się wspina,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In dimness from the view retire: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 półmroku przed wzrokiem znika;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left presents a place of graves,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 lewej cmentarz się odkrywa,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20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Whose wall the silent water laves.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Mur mu cicha toń obmywa.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That steeple guides thy doubtful sight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Wieża twe niepewne oko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Among the livid gleams of night.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Wiedzie wśród sinych lśnień mroku.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There pass with melancholy state,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Tam przejdź smętnie i bez głosu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By all the solemn heaps of fate,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Śród dostojnych kopców losu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25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And think, as softly-sad you tread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 myśl, stąpając z westchnieniem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Above the venerable dead,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Nad czcigodnych zmarłych cieniem: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"Time was, like thee they life possest,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„Był czas — jak ty, oni żyli;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And time shall be, that thou shalt rest."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Przyjdzie czas — spoczniesz w swej chwili”.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Those graves, with bending osier bound,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Groby, gibką łozą spięte,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30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That nameless heave the crumbled ground,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Bezimienne, z ziemi wzdęte,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Quick to the glancing thought disclose,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Myśli przelotnej wnet zdradzą,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Where Toil and Poverty repose.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Gdzie Trud z Nędzą spać się kładą.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flat smooth stones that bear a name,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Płyty z mianem, gładkie w trawie,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chisel's slender help to fame,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Wątłe dłuta wsparcie sławie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35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(Which ere our set of friends decay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(Nim druhowie nasi zejdą,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Their frequent steps may wear away,)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Ich stopy częste je zetrą),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 middle race of mortals own,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Znaczą średnich pochowanych 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Men, half ambitious, all unknown.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Pół ambitnych, wszak nieznanych.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marble tombs that rise on high,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Marmury w górę sięgają,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40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Whose dead in vaulted arches lie,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 kryptach zmarli spoczywają,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Whose pillars swell with sculptur'd stones,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Słupy w rzeźb okazałości: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Arms, angels, epitaphs, and bones,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Herb, anioł, napis i kości —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These (all the poor remains of state)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Te (świetności nędzne resztki)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Adorn the rich, or praise the great;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Zdobią możnych, sławią wielkich;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45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Who, while on earth in fame they live,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Choć w ziemskiej sławie wciąż trwają,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Are senseless of the fame they give.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Danej im sławy nie czują.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Ha! while I gaze, pale Cynthia fades,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Ha! Gdy patrzę, Cyntia mdleje,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 bursting earth unveils the shades!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Grunt pęka, odsłania cienie!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All slow, and wan, and wrapp'd with shrouds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Powolni, bladzi, w całunach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50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They rise in visionary crowds,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Powstają w widmowych tłumach,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And all with sober accent cry,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Wszyscy w poważnym wołaniu: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"Think, mortal, what it is to die."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„Myśl, śmiertelny, o konaniu!”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Now from yon black and fun'ral yew,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 cisu, żałobnego drzewa,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That bathes the charnel-house with dew,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Co kostnicę rosą zlewa,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55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Methinks I hear a voice begin;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Zda się, że głos jakiś wzbiera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(Ye ravens, cease your croaking din;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(Kruki, niech wasz krzyk zamiera,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Ye tolling clocks, no time resound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Wy, dzwony, czasu nie dzwońcie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O'er the long lake and midnight ground)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Nad toń długą, nocne błonia);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It sends a peal of hollow groans,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Grzmi jękiem głuchym z ciemności,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60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Thus speaking from among the bones.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Tak przemawiając śród kości: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"When men my scythe and darts supply,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„Gdy człek da mi kosę, groty,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How great a King of Fears am I!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Jakim Królem jestem Trwogi!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They view me like the last of things: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Za kres wszechrzeczy mnie głoszą,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They make, and then they dread, my stings.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Kują żądła — i się trwożą.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65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Fools! if you less provok'd your fears,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Głupcy! Mniej lęk swój drażnijcie,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No more my spectre form appears.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 mój upiorny kształt zniknie.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Death's but a path that must be trod,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Śmierć to jest konieczna droga,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If man would ever pass to God;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Jeśli człek chce przejść do Boga;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 port of calms, a state of ease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Port ciszy, stan ukojenia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70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From the rough rage of swelling seas.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 dala od mórz dzikich wrzenia.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"Why then thy flowing sable stoles,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Po cóż czarnych szat spływ długi,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Deep pendent cypress, mourning poles,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Kir zwisły, żałobne drągi,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Loose scarfs to fall athwart thy weeds,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Szarfy w skos na twej żałobie,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Long palls, drawn hearses, cover'd steeds,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Sukno, karawan w ozdobie,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75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And plumes of black, that, as they tread,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Pióra czarne z krokiem koni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Nod o'er the 'scutcheons of the dead?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Nad zmarłych herbem się kłonią?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"Nor can the parted body know,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Nie zna tego ciało w grobie,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Nor wants the soul, these forms of woe.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Ni duch nie chce tej żałoby.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As men who long in prison dwell,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Jak ci, co w lochach siedzieli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80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With lamps that glimmer round the cell,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Przy mdłych lampkach w ciasnej celi,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Whene'er their suff'ring years are run,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Gdy lata cierpień przeminą,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Spring forth to greet the glitt'ring sun: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Na słońce lśniące wypłyną: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Such joy though far transcending sense,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Taką radość, nadzmysłową,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Have pious souls at parting hence.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Mają zbożni w drogę nową.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85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On earth, and in the body plac'd,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Na ziemi, w ciele zamknięci,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 few, and evil years they waste;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Złych lat garść trwonią w udręce;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But when their chains are cast aside,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Lecz kiedy pęta swe zrzucą,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See the glad scene unfolding wide,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Wzrok w radosną dal obrócą,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/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Clap the glad wing, and tow'r away,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Skrzydłem klasną, w lot się wzbiją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pPr>
              <w:jc w:val="right"/>
            </w:pPr>
            <w:r>
              <w:rPr>
                <w:color w:val="8A7A5A"/>
                <w:sz w:val="18"/>
                <w:szCs w:val="18"/>
              </w:rPr>
              <w:t xml:space="preserve">90</w:t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And mingle with the blaze of day."</w:t>
            </w:r>
          </w:p>
        </w:tc>
        <w:tc>
          <w:tcPr>
            <w:tcW w:type="dxa" w:w="4419"/>
            <w:tcBorders>
              <w:top w:val="none" w:color="FFFFFF" w:sz="0"/>
              <w:left w:val="single" w:color="E2D8C4" w:sz="2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sz w:val="21"/>
                <w:szCs w:val="21"/>
              </w:rPr>
              <w:t xml:space="preserve">I w blasku dnia się roztopią”.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  <w:vAlign w:val="top"/>
          </w:tcPr>
          <w:p>
            <w:r>
              <w:rPr>
                <w:color w:val="8A7A5A"/>
                <w:sz w:val="18"/>
                <w:szCs w:val="18"/>
              </w:rPr>
              <w:t xml:space="preserve">90</w:t>
            </w:r>
          </w:p>
        </w:tc>
      </w:tr>
    </w:tbl>
    <w:p>
      <w:pPr>
        <w:pStyle w:val="Heading2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Glosy do tekstu angielskiego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  </w:t>
      </w:r>
      <w:r>
        <w:rPr>
          <w:i/>
          <w:iCs/>
          <w:sz w:val="19"/>
          <w:szCs w:val="19"/>
        </w:rPr>
        <w:t xml:space="preserve">taper</w:t>
      </w:r>
      <w:r>
        <w:rPr>
          <w:sz w:val="19"/>
          <w:szCs w:val="19"/>
        </w:rPr>
        <w:t xml:space="preserve"> – cienka świeca woskowa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3–4  </w:t>
      </w:r>
      <w:r>
        <w:rPr>
          <w:i/>
          <w:iCs/>
          <w:sz w:val="19"/>
          <w:szCs w:val="19"/>
        </w:rPr>
        <w:t xml:space="preserve">to pore … o'er</w:t>
      </w:r>
      <w:r>
        <w:rPr>
          <w:sz w:val="19"/>
          <w:szCs w:val="19"/>
        </w:rPr>
        <w:t xml:space="preserve"> – ślęczeć nad (pore over)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  </w:t>
      </w:r>
      <w:r>
        <w:rPr>
          <w:i/>
          <w:iCs/>
          <w:sz w:val="19"/>
          <w:szCs w:val="19"/>
        </w:rPr>
        <w:t xml:space="preserve">schoolmen</w:t>
      </w:r>
      <w:r>
        <w:rPr>
          <w:sz w:val="19"/>
          <w:szCs w:val="19"/>
        </w:rPr>
        <w:t xml:space="preserve"> – scholastycy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  </w:t>
      </w:r>
      <w:r>
        <w:rPr>
          <w:i/>
          <w:iCs/>
          <w:sz w:val="19"/>
          <w:szCs w:val="19"/>
        </w:rPr>
        <w:t xml:space="preserve">readier</w:t>
      </w:r>
      <w:r>
        <w:rPr>
          <w:sz w:val="19"/>
          <w:szCs w:val="19"/>
        </w:rPr>
        <w:t xml:space="preserve"> – prostszy, bardziej bezpośredni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9  </w:t>
      </w:r>
      <w:r>
        <w:rPr>
          <w:i/>
          <w:iCs/>
          <w:sz w:val="19"/>
          <w:szCs w:val="19"/>
        </w:rPr>
        <w:t xml:space="preserve">yon</w:t>
      </w:r>
      <w:r>
        <w:rPr>
          <w:sz w:val="19"/>
          <w:szCs w:val="19"/>
        </w:rPr>
        <w:t xml:space="preserve"> – tamten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10  </w:t>
      </w:r>
      <w:r>
        <w:rPr>
          <w:i/>
          <w:iCs/>
          <w:sz w:val="19"/>
          <w:szCs w:val="19"/>
        </w:rPr>
        <w:t xml:space="preserve">orbs</w:t>
      </w:r>
      <w:r>
        <w:rPr>
          <w:sz w:val="19"/>
          <w:szCs w:val="19"/>
        </w:rPr>
        <w:t xml:space="preserve"> – kule; tu: gwiazdy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10  </w:t>
      </w:r>
      <w:r>
        <w:rPr>
          <w:i/>
          <w:iCs/>
          <w:sz w:val="19"/>
          <w:szCs w:val="19"/>
        </w:rPr>
        <w:t xml:space="preserve">unnumber'd</w:t>
      </w:r>
      <w:r>
        <w:rPr>
          <w:sz w:val="19"/>
          <w:szCs w:val="19"/>
        </w:rPr>
        <w:t xml:space="preserve"> – niezliczone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12  </w:t>
      </w:r>
      <w:r>
        <w:rPr>
          <w:i/>
          <w:iCs/>
          <w:sz w:val="19"/>
          <w:szCs w:val="19"/>
        </w:rPr>
        <w:t xml:space="preserve">nether</w:t>
      </w:r>
      <w:r>
        <w:rPr>
          <w:sz w:val="19"/>
          <w:szCs w:val="19"/>
        </w:rPr>
        <w:t xml:space="preserve"> – niższy, dolny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12  </w:t>
      </w:r>
      <w:r>
        <w:rPr>
          <w:i/>
          <w:iCs/>
          <w:sz w:val="19"/>
          <w:szCs w:val="19"/>
        </w:rPr>
        <w:t xml:space="preserve">crescent</w:t>
      </w:r>
      <w:r>
        <w:rPr>
          <w:sz w:val="19"/>
          <w:szCs w:val="19"/>
        </w:rPr>
        <w:t xml:space="preserve"> – sierp księżyca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15  </w:t>
      </w:r>
      <w:r>
        <w:rPr>
          <w:i/>
          <w:iCs/>
          <w:sz w:val="19"/>
          <w:szCs w:val="19"/>
        </w:rPr>
        <w:t xml:space="preserve">spangled</w:t>
      </w:r>
      <w:r>
        <w:rPr>
          <w:sz w:val="19"/>
          <w:szCs w:val="19"/>
        </w:rPr>
        <w:t xml:space="preserve"> – usiany cekinami, migotliwy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17  </w:t>
      </w:r>
      <w:r>
        <w:rPr>
          <w:i/>
          <w:iCs/>
          <w:sz w:val="19"/>
          <w:szCs w:val="19"/>
        </w:rPr>
        <w:t xml:space="preserve">to aspire</w:t>
      </w:r>
      <w:r>
        <w:rPr>
          <w:sz w:val="19"/>
          <w:szCs w:val="19"/>
        </w:rPr>
        <w:t xml:space="preserve"> – wznosić się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20  </w:t>
      </w:r>
      <w:r>
        <w:rPr>
          <w:i/>
          <w:iCs/>
          <w:sz w:val="19"/>
          <w:szCs w:val="19"/>
        </w:rPr>
        <w:t xml:space="preserve">to lave</w:t>
      </w:r>
      <w:r>
        <w:rPr>
          <w:sz w:val="19"/>
          <w:szCs w:val="19"/>
        </w:rPr>
        <w:t xml:space="preserve"> – obmywać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22  </w:t>
      </w:r>
      <w:r>
        <w:rPr>
          <w:i/>
          <w:iCs/>
          <w:sz w:val="19"/>
          <w:szCs w:val="19"/>
        </w:rPr>
        <w:t xml:space="preserve">livid</w:t>
      </w:r>
      <w:r>
        <w:rPr>
          <w:sz w:val="19"/>
          <w:szCs w:val="19"/>
        </w:rPr>
        <w:t xml:space="preserve"> – siny, ołowiany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23  </w:t>
      </w:r>
      <w:r>
        <w:rPr>
          <w:i/>
          <w:iCs/>
          <w:sz w:val="19"/>
          <w:szCs w:val="19"/>
        </w:rPr>
        <w:t xml:space="preserve">state</w:t>
      </w:r>
      <w:r>
        <w:rPr>
          <w:sz w:val="19"/>
          <w:szCs w:val="19"/>
        </w:rPr>
        <w:t xml:space="preserve"> – powaga, dostojeństwo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24  </w:t>
      </w:r>
      <w:r>
        <w:rPr>
          <w:i/>
          <w:iCs/>
          <w:sz w:val="19"/>
          <w:szCs w:val="19"/>
        </w:rPr>
        <w:t xml:space="preserve">heaps</w:t>
      </w:r>
      <w:r>
        <w:rPr>
          <w:sz w:val="19"/>
          <w:szCs w:val="19"/>
        </w:rPr>
        <w:t xml:space="preserve"> – kopce, mogiły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25  </w:t>
      </w:r>
      <w:r>
        <w:rPr>
          <w:i/>
          <w:iCs/>
          <w:sz w:val="19"/>
          <w:szCs w:val="19"/>
        </w:rPr>
        <w:t xml:space="preserve">softly-sad</w:t>
      </w:r>
      <w:r>
        <w:rPr>
          <w:sz w:val="19"/>
          <w:szCs w:val="19"/>
        </w:rPr>
        <w:t xml:space="preserve"> – cicho i smutno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27  </w:t>
      </w:r>
      <w:r>
        <w:rPr>
          <w:i/>
          <w:iCs/>
          <w:sz w:val="19"/>
          <w:szCs w:val="19"/>
        </w:rPr>
        <w:t xml:space="preserve">thee / thou / thy</w:t>
      </w:r>
      <w:r>
        <w:rPr>
          <w:sz w:val="19"/>
          <w:szCs w:val="19"/>
        </w:rPr>
        <w:t xml:space="preserve"> – ciebie / ty / twój (formy dawne)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27  </w:t>
      </w:r>
      <w:r>
        <w:rPr>
          <w:i/>
          <w:iCs/>
          <w:sz w:val="19"/>
          <w:szCs w:val="19"/>
        </w:rPr>
        <w:t xml:space="preserve">possest</w:t>
      </w:r>
      <w:r>
        <w:rPr>
          <w:sz w:val="19"/>
          <w:szCs w:val="19"/>
        </w:rPr>
        <w:t xml:space="preserve"> – = possessed, posiadali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29  </w:t>
      </w:r>
      <w:r>
        <w:rPr>
          <w:i/>
          <w:iCs/>
          <w:sz w:val="19"/>
          <w:szCs w:val="19"/>
        </w:rPr>
        <w:t xml:space="preserve">osier</w:t>
      </w:r>
      <w:r>
        <w:rPr>
          <w:sz w:val="19"/>
          <w:szCs w:val="19"/>
        </w:rPr>
        <w:t xml:space="preserve"> – wiklina, łoza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30  </w:t>
      </w:r>
      <w:r>
        <w:rPr>
          <w:i/>
          <w:iCs/>
          <w:sz w:val="19"/>
          <w:szCs w:val="19"/>
        </w:rPr>
        <w:t xml:space="preserve">to heave</w:t>
      </w:r>
      <w:r>
        <w:rPr>
          <w:sz w:val="19"/>
          <w:szCs w:val="19"/>
        </w:rPr>
        <w:t xml:space="preserve"> – wybrzuszać, unosić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31  </w:t>
      </w:r>
      <w:r>
        <w:rPr>
          <w:i/>
          <w:iCs/>
          <w:sz w:val="19"/>
          <w:szCs w:val="19"/>
        </w:rPr>
        <w:t xml:space="preserve">glancing</w:t>
      </w:r>
      <w:r>
        <w:rPr>
          <w:sz w:val="19"/>
          <w:szCs w:val="19"/>
        </w:rPr>
        <w:t xml:space="preserve"> – przelotny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34  </w:t>
      </w:r>
      <w:r>
        <w:rPr>
          <w:i/>
          <w:iCs/>
          <w:sz w:val="19"/>
          <w:szCs w:val="19"/>
        </w:rPr>
        <w:t xml:space="preserve">chisel</w:t>
      </w:r>
      <w:r>
        <w:rPr>
          <w:sz w:val="19"/>
          <w:szCs w:val="19"/>
        </w:rPr>
        <w:t xml:space="preserve"> – dłuto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35  </w:t>
      </w:r>
      <w:r>
        <w:rPr>
          <w:i/>
          <w:iCs/>
          <w:sz w:val="19"/>
          <w:szCs w:val="19"/>
        </w:rPr>
        <w:t xml:space="preserve">ere</w:t>
      </w:r>
      <w:r>
        <w:rPr>
          <w:sz w:val="19"/>
          <w:szCs w:val="19"/>
        </w:rPr>
        <w:t xml:space="preserve"> – zanim (w wyd. 1722: e'er)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35  </w:t>
      </w:r>
      <w:r>
        <w:rPr>
          <w:i/>
          <w:iCs/>
          <w:sz w:val="19"/>
          <w:szCs w:val="19"/>
        </w:rPr>
        <w:t xml:space="preserve">set of friends</w:t>
      </w:r>
      <w:r>
        <w:rPr>
          <w:sz w:val="19"/>
          <w:szCs w:val="19"/>
        </w:rPr>
        <w:t xml:space="preserve"> – grono przyjaciół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35  </w:t>
      </w:r>
      <w:r>
        <w:rPr>
          <w:i/>
          <w:iCs/>
          <w:sz w:val="19"/>
          <w:szCs w:val="19"/>
        </w:rPr>
        <w:t xml:space="preserve">to decay</w:t>
      </w:r>
      <w:r>
        <w:rPr>
          <w:sz w:val="19"/>
          <w:szCs w:val="19"/>
        </w:rPr>
        <w:t xml:space="preserve"> – podupaść; tu: umrzeć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37  </w:t>
      </w:r>
      <w:r>
        <w:rPr>
          <w:i/>
          <w:iCs/>
          <w:sz w:val="19"/>
          <w:szCs w:val="19"/>
        </w:rPr>
        <w:t xml:space="preserve">to own</w:t>
      </w:r>
      <w:r>
        <w:rPr>
          <w:sz w:val="19"/>
          <w:szCs w:val="19"/>
        </w:rPr>
        <w:t xml:space="preserve"> – tu: należeć do kogoś, być czyjąś własnością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40  </w:t>
      </w:r>
      <w:r>
        <w:rPr>
          <w:i/>
          <w:iCs/>
          <w:sz w:val="19"/>
          <w:szCs w:val="19"/>
        </w:rPr>
        <w:t xml:space="preserve">vaulted</w:t>
      </w:r>
      <w:r>
        <w:rPr>
          <w:sz w:val="19"/>
          <w:szCs w:val="19"/>
        </w:rPr>
        <w:t xml:space="preserve"> – sklepiony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42  </w:t>
      </w:r>
      <w:r>
        <w:rPr>
          <w:i/>
          <w:iCs/>
          <w:sz w:val="19"/>
          <w:szCs w:val="19"/>
        </w:rPr>
        <w:t xml:space="preserve">arms</w:t>
      </w:r>
      <w:r>
        <w:rPr>
          <w:sz w:val="19"/>
          <w:szCs w:val="19"/>
        </w:rPr>
        <w:t xml:space="preserve"> – herby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43  </w:t>
      </w:r>
      <w:r>
        <w:rPr>
          <w:i/>
          <w:iCs/>
          <w:sz w:val="19"/>
          <w:szCs w:val="19"/>
        </w:rPr>
        <w:t xml:space="preserve">state</w:t>
      </w:r>
      <w:r>
        <w:rPr>
          <w:sz w:val="19"/>
          <w:szCs w:val="19"/>
        </w:rPr>
        <w:t xml:space="preserve"> – tu: przepych, pompa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46  </w:t>
      </w:r>
      <w:r>
        <w:rPr>
          <w:i/>
          <w:iCs/>
          <w:sz w:val="19"/>
          <w:szCs w:val="19"/>
        </w:rPr>
        <w:t xml:space="preserve">senseless of</w:t>
      </w:r>
      <w:r>
        <w:rPr>
          <w:sz w:val="19"/>
          <w:szCs w:val="19"/>
        </w:rPr>
        <w:t xml:space="preserve"> – nieczuły na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47  </w:t>
      </w:r>
      <w:r>
        <w:rPr>
          <w:i/>
          <w:iCs/>
          <w:sz w:val="19"/>
          <w:szCs w:val="19"/>
        </w:rPr>
        <w:t xml:space="preserve">Cynthia</w:t>
      </w:r>
      <w:r>
        <w:rPr>
          <w:sz w:val="19"/>
          <w:szCs w:val="19"/>
        </w:rPr>
        <w:t xml:space="preserve"> – Cyntia, księżyc (zob. przypisy)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48  </w:t>
      </w:r>
      <w:r>
        <w:rPr>
          <w:i/>
          <w:iCs/>
          <w:sz w:val="19"/>
          <w:szCs w:val="19"/>
        </w:rPr>
        <w:t xml:space="preserve">shades</w:t>
      </w:r>
      <w:r>
        <w:rPr>
          <w:sz w:val="19"/>
          <w:szCs w:val="19"/>
        </w:rPr>
        <w:t xml:space="preserve"> – cienie, dusze zmarłych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49  </w:t>
      </w:r>
      <w:r>
        <w:rPr>
          <w:i/>
          <w:iCs/>
          <w:sz w:val="19"/>
          <w:szCs w:val="19"/>
        </w:rPr>
        <w:t xml:space="preserve">wan</w:t>
      </w:r>
      <w:r>
        <w:rPr>
          <w:sz w:val="19"/>
          <w:szCs w:val="19"/>
        </w:rPr>
        <w:t xml:space="preserve"> – blady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49  </w:t>
      </w:r>
      <w:r>
        <w:rPr>
          <w:i/>
          <w:iCs/>
          <w:sz w:val="19"/>
          <w:szCs w:val="19"/>
        </w:rPr>
        <w:t xml:space="preserve">shroud</w:t>
      </w:r>
      <w:r>
        <w:rPr>
          <w:sz w:val="19"/>
          <w:szCs w:val="19"/>
        </w:rPr>
        <w:t xml:space="preserve"> – całun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50  </w:t>
      </w:r>
      <w:r>
        <w:rPr>
          <w:i/>
          <w:iCs/>
          <w:sz w:val="19"/>
          <w:szCs w:val="19"/>
        </w:rPr>
        <w:t xml:space="preserve">visionary</w:t>
      </w:r>
      <w:r>
        <w:rPr>
          <w:sz w:val="19"/>
          <w:szCs w:val="19"/>
        </w:rPr>
        <w:t xml:space="preserve"> – widmowy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51  </w:t>
      </w:r>
      <w:r>
        <w:rPr>
          <w:i/>
          <w:iCs/>
          <w:sz w:val="19"/>
          <w:szCs w:val="19"/>
        </w:rPr>
        <w:t xml:space="preserve">accent</w:t>
      </w:r>
      <w:r>
        <w:rPr>
          <w:sz w:val="19"/>
          <w:szCs w:val="19"/>
        </w:rPr>
        <w:t xml:space="preserve"> – ton głosu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53  </w:t>
      </w:r>
      <w:r>
        <w:rPr>
          <w:i/>
          <w:iCs/>
          <w:sz w:val="19"/>
          <w:szCs w:val="19"/>
        </w:rPr>
        <w:t xml:space="preserve">yew</w:t>
      </w:r>
      <w:r>
        <w:rPr>
          <w:sz w:val="19"/>
          <w:szCs w:val="19"/>
        </w:rPr>
        <w:t xml:space="preserve"> – cis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54  </w:t>
      </w:r>
      <w:r>
        <w:rPr>
          <w:i/>
          <w:iCs/>
          <w:sz w:val="19"/>
          <w:szCs w:val="19"/>
        </w:rPr>
        <w:t xml:space="preserve">charnel-house</w:t>
      </w:r>
      <w:r>
        <w:rPr>
          <w:sz w:val="19"/>
          <w:szCs w:val="19"/>
        </w:rPr>
        <w:t xml:space="preserve"> – kostnica, ossuarium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55  </w:t>
      </w:r>
      <w:r>
        <w:rPr>
          <w:i/>
          <w:iCs/>
          <w:sz w:val="19"/>
          <w:szCs w:val="19"/>
        </w:rPr>
        <w:t xml:space="preserve">methinks</w:t>
      </w:r>
      <w:r>
        <w:rPr>
          <w:sz w:val="19"/>
          <w:szCs w:val="19"/>
        </w:rPr>
        <w:t xml:space="preserve"> – zdaje mi się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56  </w:t>
      </w:r>
      <w:r>
        <w:rPr>
          <w:i/>
          <w:iCs/>
          <w:sz w:val="19"/>
          <w:szCs w:val="19"/>
        </w:rPr>
        <w:t xml:space="preserve">din</w:t>
      </w:r>
      <w:r>
        <w:rPr>
          <w:sz w:val="19"/>
          <w:szCs w:val="19"/>
        </w:rPr>
        <w:t xml:space="preserve"> – zgiełk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57  </w:t>
      </w:r>
      <w:r>
        <w:rPr>
          <w:i/>
          <w:iCs/>
          <w:sz w:val="19"/>
          <w:szCs w:val="19"/>
        </w:rPr>
        <w:t xml:space="preserve">to toll</w:t>
      </w:r>
      <w:r>
        <w:rPr>
          <w:sz w:val="19"/>
          <w:szCs w:val="19"/>
        </w:rPr>
        <w:t xml:space="preserve"> – bić (o dzwonie)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57  </w:t>
      </w:r>
      <w:r>
        <w:rPr>
          <w:i/>
          <w:iCs/>
          <w:sz w:val="19"/>
          <w:szCs w:val="19"/>
        </w:rPr>
        <w:t xml:space="preserve">to resound</w:t>
      </w:r>
      <w:r>
        <w:rPr>
          <w:sz w:val="19"/>
          <w:szCs w:val="19"/>
        </w:rPr>
        <w:t xml:space="preserve"> – rozgłaszać, wydzwaniać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59  </w:t>
      </w:r>
      <w:r>
        <w:rPr>
          <w:i/>
          <w:iCs/>
          <w:sz w:val="19"/>
          <w:szCs w:val="19"/>
        </w:rPr>
        <w:t xml:space="preserve">peal</w:t>
      </w:r>
      <w:r>
        <w:rPr>
          <w:sz w:val="19"/>
          <w:szCs w:val="19"/>
        </w:rPr>
        <w:t xml:space="preserve"> – huk, bicie (dzwonów)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61  </w:t>
      </w:r>
      <w:r>
        <w:rPr>
          <w:i/>
          <w:iCs/>
          <w:sz w:val="19"/>
          <w:szCs w:val="19"/>
        </w:rPr>
        <w:t xml:space="preserve">scythe / darts</w:t>
      </w:r>
      <w:r>
        <w:rPr>
          <w:sz w:val="19"/>
          <w:szCs w:val="19"/>
        </w:rPr>
        <w:t xml:space="preserve"> – kosa / strzały, groty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65  </w:t>
      </w:r>
      <w:r>
        <w:rPr>
          <w:i/>
          <w:iCs/>
          <w:sz w:val="19"/>
          <w:szCs w:val="19"/>
        </w:rPr>
        <w:t xml:space="preserve">provok'd</w:t>
      </w:r>
      <w:r>
        <w:rPr>
          <w:sz w:val="19"/>
          <w:szCs w:val="19"/>
        </w:rPr>
        <w:t xml:space="preserve"> – = provoked, podsycali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66  </w:t>
      </w:r>
      <w:r>
        <w:rPr>
          <w:i/>
          <w:iCs/>
          <w:sz w:val="19"/>
          <w:szCs w:val="19"/>
        </w:rPr>
        <w:t xml:space="preserve">spectre</w:t>
      </w:r>
      <w:r>
        <w:rPr>
          <w:sz w:val="19"/>
          <w:szCs w:val="19"/>
        </w:rPr>
        <w:t xml:space="preserve"> – widmo, upiór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67  </w:t>
      </w:r>
      <w:r>
        <w:rPr>
          <w:i/>
          <w:iCs/>
          <w:sz w:val="19"/>
          <w:szCs w:val="19"/>
        </w:rPr>
        <w:t xml:space="preserve">trod</w:t>
      </w:r>
      <w:r>
        <w:rPr>
          <w:sz w:val="19"/>
          <w:szCs w:val="19"/>
        </w:rPr>
        <w:t xml:space="preserve"> – (part. od tread) deptany, przebyty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69  </w:t>
      </w:r>
      <w:r>
        <w:rPr>
          <w:i/>
          <w:iCs/>
          <w:sz w:val="19"/>
          <w:szCs w:val="19"/>
        </w:rPr>
        <w:t xml:space="preserve">port of calms</w:t>
      </w:r>
      <w:r>
        <w:rPr>
          <w:sz w:val="19"/>
          <w:szCs w:val="19"/>
        </w:rPr>
        <w:t xml:space="preserve"> – przystań ciszy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71  </w:t>
      </w:r>
      <w:r>
        <w:rPr>
          <w:i/>
          <w:iCs/>
          <w:sz w:val="19"/>
          <w:szCs w:val="19"/>
        </w:rPr>
        <w:t xml:space="preserve">sable</w:t>
      </w:r>
      <w:r>
        <w:rPr>
          <w:sz w:val="19"/>
          <w:szCs w:val="19"/>
        </w:rPr>
        <w:t xml:space="preserve"> – czarny (zwł. żałobny)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71  </w:t>
      </w:r>
      <w:r>
        <w:rPr>
          <w:i/>
          <w:iCs/>
          <w:sz w:val="19"/>
          <w:szCs w:val="19"/>
        </w:rPr>
        <w:t xml:space="preserve">stole</w:t>
      </w:r>
      <w:r>
        <w:rPr>
          <w:sz w:val="19"/>
          <w:szCs w:val="19"/>
        </w:rPr>
        <w:t xml:space="preserve"> – długa szata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72  </w:t>
      </w:r>
      <w:r>
        <w:rPr>
          <w:i/>
          <w:iCs/>
          <w:sz w:val="19"/>
          <w:szCs w:val="19"/>
        </w:rPr>
        <w:t xml:space="preserve">pendent</w:t>
      </w:r>
      <w:r>
        <w:rPr>
          <w:sz w:val="19"/>
          <w:szCs w:val="19"/>
        </w:rPr>
        <w:t xml:space="preserve"> – zwisający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72  </w:t>
      </w:r>
      <w:r>
        <w:rPr>
          <w:i/>
          <w:iCs/>
          <w:sz w:val="19"/>
          <w:szCs w:val="19"/>
        </w:rPr>
        <w:t xml:space="preserve">cypress</w:t>
      </w:r>
      <w:r>
        <w:rPr>
          <w:sz w:val="19"/>
          <w:szCs w:val="19"/>
        </w:rPr>
        <w:t xml:space="preserve"> – tu: krepa żałobna (zob. przypisy)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72  </w:t>
      </w:r>
      <w:r>
        <w:rPr>
          <w:i/>
          <w:iCs/>
          <w:sz w:val="19"/>
          <w:szCs w:val="19"/>
        </w:rPr>
        <w:t xml:space="preserve">mourning poles</w:t>
      </w:r>
      <w:r>
        <w:rPr>
          <w:sz w:val="19"/>
          <w:szCs w:val="19"/>
        </w:rPr>
        <w:t xml:space="preserve"> – drzewca żałobne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73  </w:t>
      </w:r>
      <w:r>
        <w:rPr>
          <w:i/>
          <w:iCs/>
          <w:sz w:val="19"/>
          <w:szCs w:val="19"/>
        </w:rPr>
        <w:t xml:space="preserve">athwart</w:t>
      </w:r>
      <w:r>
        <w:rPr>
          <w:sz w:val="19"/>
          <w:szCs w:val="19"/>
        </w:rPr>
        <w:t xml:space="preserve"> – w poprzek, na ukos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73  </w:t>
      </w:r>
      <w:r>
        <w:rPr>
          <w:i/>
          <w:iCs/>
          <w:sz w:val="19"/>
          <w:szCs w:val="19"/>
        </w:rPr>
        <w:t xml:space="preserve">weeds</w:t>
      </w:r>
      <w:r>
        <w:rPr>
          <w:sz w:val="19"/>
          <w:szCs w:val="19"/>
        </w:rPr>
        <w:t xml:space="preserve"> – strój żałobny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74  </w:t>
      </w:r>
      <w:r>
        <w:rPr>
          <w:i/>
          <w:iCs/>
          <w:sz w:val="19"/>
          <w:szCs w:val="19"/>
        </w:rPr>
        <w:t xml:space="preserve">pall</w:t>
      </w:r>
      <w:r>
        <w:rPr>
          <w:sz w:val="19"/>
          <w:szCs w:val="19"/>
        </w:rPr>
        <w:t xml:space="preserve"> – sukno żałobne na trumnę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74  </w:t>
      </w:r>
      <w:r>
        <w:rPr>
          <w:i/>
          <w:iCs/>
          <w:sz w:val="19"/>
          <w:szCs w:val="19"/>
        </w:rPr>
        <w:t xml:space="preserve">hearse</w:t>
      </w:r>
      <w:r>
        <w:rPr>
          <w:sz w:val="19"/>
          <w:szCs w:val="19"/>
        </w:rPr>
        <w:t xml:space="preserve"> – karawan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74  </w:t>
      </w:r>
      <w:r>
        <w:rPr>
          <w:i/>
          <w:iCs/>
          <w:sz w:val="19"/>
          <w:szCs w:val="19"/>
        </w:rPr>
        <w:t xml:space="preserve">steeds</w:t>
      </w:r>
      <w:r>
        <w:rPr>
          <w:sz w:val="19"/>
          <w:szCs w:val="19"/>
        </w:rPr>
        <w:t xml:space="preserve"> – rumaki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75  </w:t>
      </w:r>
      <w:r>
        <w:rPr>
          <w:i/>
          <w:iCs/>
          <w:sz w:val="19"/>
          <w:szCs w:val="19"/>
        </w:rPr>
        <w:t xml:space="preserve">plumes</w:t>
      </w:r>
      <w:r>
        <w:rPr>
          <w:sz w:val="19"/>
          <w:szCs w:val="19"/>
        </w:rPr>
        <w:t xml:space="preserve"> – pióropusze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76  </w:t>
      </w:r>
      <w:r>
        <w:rPr>
          <w:i/>
          <w:iCs/>
          <w:sz w:val="19"/>
          <w:szCs w:val="19"/>
        </w:rPr>
        <w:t xml:space="preserve">'scutcheons</w:t>
      </w:r>
      <w:r>
        <w:rPr>
          <w:sz w:val="19"/>
          <w:szCs w:val="19"/>
        </w:rPr>
        <w:t xml:space="preserve"> – = escutcheons, tarcze herbowe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77  </w:t>
      </w:r>
      <w:r>
        <w:rPr>
          <w:i/>
          <w:iCs/>
          <w:sz w:val="19"/>
          <w:szCs w:val="19"/>
        </w:rPr>
        <w:t xml:space="preserve">parted</w:t>
      </w:r>
      <w:r>
        <w:rPr>
          <w:sz w:val="19"/>
          <w:szCs w:val="19"/>
        </w:rPr>
        <w:t xml:space="preserve"> – rozdzielony (z duszą)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78  </w:t>
      </w:r>
      <w:r>
        <w:rPr>
          <w:i/>
          <w:iCs/>
          <w:sz w:val="19"/>
          <w:szCs w:val="19"/>
        </w:rPr>
        <w:t xml:space="preserve">to want</w:t>
      </w:r>
      <w:r>
        <w:rPr>
          <w:sz w:val="19"/>
          <w:szCs w:val="19"/>
        </w:rPr>
        <w:t xml:space="preserve"> – potrzebować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78  </w:t>
      </w:r>
      <w:r>
        <w:rPr>
          <w:i/>
          <w:iCs/>
          <w:sz w:val="19"/>
          <w:szCs w:val="19"/>
        </w:rPr>
        <w:t xml:space="preserve">woe</w:t>
      </w:r>
      <w:r>
        <w:rPr>
          <w:sz w:val="19"/>
          <w:szCs w:val="19"/>
        </w:rPr>
        <w:t xml:space="preserve"> – żałoba, boleść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80  </w:t>
      </w:r>
      <w:r>
        <w:rPr>
          <w:i/>
          <w:iCs/>
          <w:sz w:val="19"/>
          <w:szCs w:val="19"/>
        </w:rPr>
        <w:t xml:space="preserve">to glimmer</w:t>
      </w:r>
      <w:r>
        <w:rPr>
          <w:sz w:val="19"/>
          <w:szCs w:val="19"/>
        </w:rPr>
        <w:t xml:space="preserve"> – migotać, tlić się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81  </w:t>
      </w:r>
      <w:r>
        <w:rPr>
          <w:i/>
          <w:iCs/>
          <w:sz w:val="19"/>
          <w:szCs w:val="19"/>
        </w:rPr>
        <w:t xml:space="preserve">whene'er</w:t>
      </w:r>
      <w:r>
        <w:rPr>
          <w:sz w:val="19"/>
          <w:szCs w:val="19"/>
        </w:rPr>
        <w:t xml:space="preserve"> – = whenever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81  </w:t>
      </w:r>
      <w:r>
        <w:rPr>
          <w:i/>
          <w:iCs/>
          <w:sz w:val="19"/>
          <w:szCs w:val="19"/>
        </w:rPr>
        <w:t xml:space="preserve">to be run</w:t>
      </w:r>
      <w:r>
        <w:rPr>
          <w:sz w:val="19"/>
          <w:szCs w:val="19"/>
        </w:rPr>
        <w:t xml:space="preserve"> – upłynąć (o latach)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83  </w:t>
      </w:r>
      <w:r>
        <w:rPr>
          <w:i/>
          <w:iCs/>
          <w:sz w:val="19"/>
          <w:szCs w:val="19"/>
        </w:rPr>
        <w:t xml:space="preserve">transcending sense</w:t>
      </w:r>
      <w:r>
        <w:rPr>
          <w:sz w:val="19"/>
          <w:szCs w:val="19"/>
        </w:rPr>
        <w:t xml:space="preserve"> – przekraczający zmysły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84  </w:t>
      </w:r>
      <w:r>
        <w:rPr>
          <w:i/>
          <w:iCs/>
          <w:sz w:val="19"/>
          <w:szCs w:val="19"/>
        </w:rPr>
        <w:t xml:space="preserve">hence</w:t>
      </w:r>
      <w:r>
        <w:rPr>
          <w:sz w:val="19"/>
          <w:szCs w:val="19"/>
        </w:rPr>
        <w:t xml:space="preserve"> – stąd; tu: z tego świata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86  </w:t>
      </w:r>
      <w:r>
        <w:rPr>
          <w:i/>
          <w:iCs/>
          <w:sz w:val="19"/>
          <w:szCs w:val="19"/>
        </w:rPr>
        <w:t xml:space="preserve">to waste</w:t>
      </w:r>
      <w:r>
        <w:rPr>
          <w:sz w:val="19"/>
          <w:szCs w:val="19"/>
        </w:rPr>
        <w:t xml:space="preserve"> – trwonić; tu też: spędzać marnie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89  </w:t>
      </w:r>
      <w:r>
        <w:rPr>
          <w:i/>
          <w:iCs/>
          <w:sz w:val="19"/>
          <w:szCs w:val="19"/>
        </w:rPr>
        <w:t xml:space="preserve">to tow'r</w:t>
      </w:r>
      <w:r>
        <w:rPr>
          <w:sz w:val="19"/>
          <w:szCs w:val="19"/>
        </w:rPr>
        <w:t xml:space="preserve"> – = to tower, wzbić się wysoko (termin sokolniczy)</w:t>
      </w:r>
    </w:p>
    <w:p>
      <w:pPr>
        <w:spacing w:after="20"/>
      </w:pPr>
      <w:r>
        <w:rPr>
          <w:color w:val="8A7A5A"/>
          <w:sz w:val="19"/>
          <w:szCs w:val="19"/>
        </w:rPr>
        <w:t xml:space="preserve">w. 90  </w:t>
      </w:r>
      <w:r>
        <w:rPr>
          <w:i/>
          <w:iCs/>
          <w:sz w:val="19"/>
          <w:szCs w:val="19"/>
        </w:rPr>
        <w:t xml:space="preserve">blaze</w:t>
      </w:r>
      <w:r>
        <w:rPr>
          <w:sz w:val="19"/>
          <w:szCs w:val="19"/>
        </w:rPr>
        <w:t xml:space="preserve"> – blask, płomień</w:t>
      </w:r>
    </w:p>
    <w:p>
      <w:pPr>
        <w:pStyle w:val="Heading2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Przypisy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Tytuł. </w:t>
      </w:r>
      <w:r>
        <w:rPr>
          <w:i/>
          <w:iCs/>
          <w:sz w:val="20"/>
          <w:szCs w:val="20"/>
        </w:rPr>
        <w:t xml:space="preserve">Night-piece</w:t>
      </w:r>
      <w:r>
        <w:rPr>
          <w:sz w:val="20"/>
          <w:szCs w:val="20"/>
        </w:rPr>
        <w:t xml:space="preserve"> to w angielskim XVII–XVIII w. także termin malarski: obraz przedstawiający scenę nocną. Polski tytuł roboczy oddaje raczej treść niż ten odcień znaczenia </w:t>
      </w:r>
      <w:r>
        <w:rPr>
          <w:b/>
          <w:bCs/>
          <w:sz w:val="20"/>
          <w:szCs w:val="20"/>
          <w:shd w:fill="FFF0A0" w:color="auto" w:val="clear"/>
        </w:rPr>
        <w:t xml:space="preserve">[do decyzji: por. „Obraz nocy” w poz. 15 i 18]</w:t>
      </w:r>
      <w:r>
        <w:rPr>
          <w:sz w:val="20"/>
          <w:szCs w:val="20"/>
        </w:rPr>
        <w:t xml:space="preserve">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1. </w:t>
      </w:r>
      <w:r>
        <w:rPr>
          <w:i/>
          <w:iCs/>
          <w:sz w:val="20"/>
          <w:szCs w:val="20"/>
        </w:rPr>
        <w:t xml:space="preserve">blue taper</w:t>
      </w:r>
      <w:r>
        <w:rPr>
          <w:sz w:val="20"/>
          <w:szCs w:val="20"/>
        </w:rPr>
        <w:t xml:space="preserve">: świeca palącą się niebieskawym płomieniem w tradycji angielskiej łączono z obecnością duchów; por. Szekspir, </w:t>
      </w:r>
      <w:r>
        <w:rPr>
          <w:i/>
          <w:iCs/>
          <w:sz w:val="20"/>
          <w:szCs w:val="20"/>
        </w:rPr>
        <w:t xml:space="preserve">Ryszard III</w:t>
      </w:r>
      <w:r>
        <w:rPr>
          <w:sz w:val="20"/>
          <w:szCs w:val="20"/>
        </w:rPr>
        <w:t xml:space="preserve">, akt V, sc. 3: „The lights burn blue”. Może to być też po prostu płomień dogasającej świecy.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1–8. </w:t>
      </w:r>
      <w:r>
        <w:rPr>
          <w:sz w:val="20"/>
          <w:szCs w:val="20"/>
        </w:rPr>
        <w:t xml:space="preserve">Nocny uczony przy świecy to obraz znany z „Il Penseroso” Miltona (nr 1 w tym tomie), w. 85–86. Parnell odwraca go: odchodzi od ksiąg.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4. </w:t>
      </w:r>
      <w:r>
        <w:rPr>
          <w:sz w:val="20"/>
          <w:szCs w:val="20"/>
        </w:rPr>
        <w:t xml:space="preserve">Scholastycy: średniowieczni teologowie i filozofowie szkół, np. Tomasz z Akwinu czy Duns Szkot. W XVIII w. synonim jałowego mędrkowania.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8. </w:t>
      </w:r>
      <w:r>
        <w:rPr>
          <w:i/>
          <w:iCs/>
          <w:sz w:val="20"/>
          <w:szCs w:val="20"/>
        </w:rPr>
        <w:t xml:space="preserve">below</w:t>
      </w:r>
      <w:r>
        <w:rPr>
          <w:sz w:val="20"/>
          <w:szCs w:val="20"/>
        </w:rPr>
        <w:t xml:space="preserve">: „w dole”, czyli wśród zmarłych, pod ziemią. Stąd w przekładzie „zejdę” (w. 7).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12. </w:t>
      </w:r>
      <w:r>
        <w:rPr>
          <w:i/>
          <w:iCs/>
          <w:sz w:val="20"/>
          <w:szCs w:val="20"/>
        </w:rPr>
        <w:t xml:space="preserve">nether crescent</w:t>
      </w:r>
      <w:r>
        <w:rPr>
          <w:sz w:val="20"/>
          <w:szCs w:val="20"/>
        </w:rPr>
        <w:t xml:space="preserve">: dosłownie „dolny sierp”. Prawdopodobnie księżyc nisko nad horyzontem </w:t>
      </w:r>
      <w:r>
        <w:rPr>
          <w:b/>
          <w:bCs/>
          <w:sz w:val="20"/>
          <w:szCs w:val="20"/>
          <w:shd w:fill="FFF0A0" w:color="auto" w:val="clear"/>
        </w:rPr>
        <w:t xml:space="preserve">[interpretacja]</w:t>
      </w:r>
      <w:r>
        <w:rPr>
          <w:sz w:val="20"/>
          <w:szCs w:val="20"/>
        </w:rPr>
        <w:t xml:space="preserve">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15–16. </w:t>
      </w:r>
      <w:r>
        <w:rPr>
          <w:sz w:val="20"/>
          <w:szCs w:val="20"/>
        </w:rPr>
        <w:t xml:space="preserve">Gwiazdy odbijają się w nieruchomym jeziorze: niebo „schodzi” ku patrzącemu.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21. </w:t>
      </w:r>
      <w:r>
        <w:rPr>
          <w:sz w:val="20"/>
          <w:szCs w:val="20"/>
        </w:rPr>
        <w:t xml:space="preserve">Mówiący zwraca się do czytelnika albo do samego siebie („thy”, „you”). Ten tryb rozmowy z sobą przejmą później Young i Blair.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27–28. </w:t>
      </w:r>
      <w:r>
        <w:rPr>
          <w:sz w:val="20"/>
          <w:szCs w:val="20"/>
        </w:rPr>
        <w:t xml:space="preserve">Echo dawnej formuły nagrobnej, w której zmarły mówi do przechodnia: czym ty jesteś, ja byłem; czym ja jestem, ty będziesz.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29. </w:t>
      </w:r>
      <w:r>
        <w:rPr>
          <w:sz w:val="20"/>
          <w:szCs w:val="20"/>
        </w:rPr>
        <w:t xml:space="preserve">Ubogie groby obwiązywano pędami wikliny lub jeżyn, by chronić darń mogiły </w:t>
      </w:r>
      <w:r>
        <w:rPr>
          <w:b/>
          <w:bCs/>
          <w:sz w:val="20"/>
          <w:szCs w:val="20"/>
          <w:shd w:fill="FFF0A0" w:color="auto" w:val="clear"/>
        </w:rPr>
        <w:t xml:space="preserve">[do weryfikacji]</w:t>
      </w:r>
      <w:r>
        <w:rPr>
          <w:sz w:val="20"/>
          <w:szCs w:val="20"/>
        </w:rPr>
        <w:t xml:space="preserve">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29–46. </w:t>
      </w:r>
      <w:r>
        <w:rPr>
          <w:sz w:val="20"/>
          <w:szCs w:val="20"/>
        </w:rPr>
        <w:t xml:space="preserve">Trzy klasy grobów: ubogich, „średnich” i możnych. Por. Gray, Elegia (nr 13), gdzie „storied urn” możnych zestawiono z bezimiennymi grobami wieśniaków.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35–36. </w:t>
      </w:r>
      <w:r>
        <w:rPr>
          <w:sz w:val="20"/>
          <w:szCs w:val="20"/>
        </w:rPr>
        <w:t xml:space="preserve">Płyty z imieniem, często w posadzce kościoła lub na ścieżkach cmentarza, zatrą się pod stopami, zanim umrą przyjaciele zmarłego. Pamięć jest krótsza niż jedno pokolenie.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35. </w:t>
      </w:r>
      <w:r>
        <w:rPr>
          <w:sz w:val="20"/>
          <w:szCs w:val="20"/>
        </w:rPr>
        <w:t xml:space="preserve">W wyd. 1722 „e'er”; czytamy „ere” (zanim), jak w wydaniach zmodernizowanych.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42. </w:t>
      </w:r>
      <w:r>
        <w:rPr>
          <w:sz w:val="20"/>
          <w:szCs w:val="20"/>
        </w:rPr>
        <w:t xml:space="preserve">Typowy wystrój barokowego nagrobka: herby, putta lub anioły, epitafia oraz czaszki i piszczele jako memento mori.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47. </w:t>
      </w:r>
      <w:r>
        <w:rPr>
          <w:sz w:val="20"/>
          <w:szCs w:val="20"/>
        </w:rPr>
        <w:t xml:space="preserve">Cyntia: przydomek Artemidy (Diany) od góry Kyntos na Delos. W poezji – księżyc.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48. </w:t>
      </w:r>
      <w:r>
        <w:rPr>
          <w:sz w:val="20"/>
          <w:szCs w:val="20"/>
        </w:rPr>
        <w:t xml:space="preserve">Cienie: dusze zmarłych, jak w poezji antycznej.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53. </w:t>
      </w:r>
      <w:r>
        <w:rPr>
          <w:sz w:val="20"/>
          <w:szCs w:val="20"/>
        </w:rPr>
        <w:t xml:space="preserve">Cis: tradycyjne drzewo angielskich cmentarzy, długowieczne i trujące; symbol żałoby i nieśmiertelności.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54. </w:t>
      </w:r>
      <w:r>
        <w:rPr>
          <w:sz w:val="20"/>
          <w:szCs w:val="20"/>
        </w:rPr>
        <w:t xml:space="preserve">Kostnica (</w:t>
      </w:r>
      <w:r>
        <w:rPr>
          <w:i/>
          <w:iCs/>
          <w:sz w:val="20"/>
          <w:szCs w:val="20"/>
        </w:rPr>
        <w:t xml:space="preserve">charnel-house</w:t>
      </w:r>
      <w:r>
        <w:rPr>
          <w:sz w:val="20"/>
          <w:szCs w:val="20"/>
        </w:rPr>
        <w:t xml:space="preserve">): ossuarium przy kościele, gdzie składano kości wydobyte przy kopaniu nowych grobów.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57. </w:t>
      </w:r>
      <w:r>
        <w:rPr>
          <w:i/>
          <w:iCs/>
          <w:sz w:val="20"/>
          <w:szCs w:val="20"/>
        </w:rPr>
        <w:t xml:space="preserve">tolling clocks</w:t>
      </w:r>
      <w:r>
        <w:rPr>
          <w:sz w:val="20"/>
          <w:szCs w:val="20"/>
        </w:rPr>
        <w:t xml:space="preserve">: zegary na wieży wybijające godziny. W przekładzie „dzwony”, dla rytmu.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61. </w:t>
      </w:r>
      <w:r>
        <w:rPr>
          <w:sz w:val="20"/>
          <w:szCs w:val="20"/>
        </w:rPr>
        <w:t xml:space="preserve">Kosa i strzały: atrybuty Śmierci w ikonografii, np. w tańcach śmierci.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62. </w:t>
      </w:r>
      <w:r>
        <w:rPr>
          <w:i/>
          <w:iCs/>
          <w:sz w:val="20"/>
          <w:szCs w:val="20"/>
        </w:rPr>
        <w:t xml:space="preserve">King of Fears</w:t>
      </w:r>
      <w:r>
        <w:rPr>
          <w:sz w:val="20"/>
          <w:szCs w:val="20"/>
        </w:rPr>
        <w:t xml:space="preserve">: aluzja do Hioba 18,14 (w Biblii Króla Jakuba „the king of terrors”). Po angielsku Śmierć jest rodzaju męskiego; w przekładzie zachowano tytuł „Król”, choć polska Śmierć jest kobietą.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64. </w:t>
      </w:r>
      <w:r>
        <w:rPr>
          <w:sz w:val="20"/>
          <w:szCs w:val="20"/>
        </w:rPr>
        <w:t xml:space="preserve">Żądła: aluzja do 1 Kor 15,55 (KJV: „O death, where is thy sting?”).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69–70. </w:t>
      </w:r>
      <w:r>
        <w:rPr>
          <w:sz w:val="20"/>
          <w:szCs w:val="20"/>
        </w:rPr>
        <w:t xml:space="preserve">Życie jako burzliwa żegluga, śmierć jako przystań: stary topos, częsty w kazaniach.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71–76. </w:t>
      </w:r>
      <w:r>
        <w:rPr>
          <w:sz w:val="20"/>
          <w:szCs w:val="20"/>
        </w:rPr>
        <w:t xml:space="preserve">Katalog pogrzebowego przepychu. W XVIII-wiecznej Anglii przedsiębiorcy pogrzebowi wypożyczali czarne sukno, kiry, karawany i konie z pióropuszami. Herbowe tablice żałobne (</w:t>
      </w:r>
      <w:r>
        <w:rPr>
          <w:i/>
          <w:iCs/>
          <w:sz w:val="20"/>
          <w:szCs w:val="20"/>
        </w:rPr>
        <w:t xml:space="preserve">hatchments</w:t>
      </w:r>
      <w:r>
        <w:rPr>
          <w:sz w:val="20"/>
          <w:szCs w:val="20"/>
        </w:rPr>
        <w:t xml:space="preserve">) wieszano na domu zmarłego, potem w kościele </w:t>
      </w:r>
      <w:r>
        <w:rPr>
          <w:b/>
          <w:bCs/>
          <w:sz w:val="20"/>
          <w:szCs w:val="20"/>
          <w:shd w:fill="FFF0A0" w:color="auto" w:val="clear"/>
        </w:rPr>
        <w:t xml:space="preserve">[do weryfikacji: szczegóły]</w:t>
      </w:r>
      <w:r>
        <w:rPr>
          <w:sz w:val="20"/>
          <w:szCs w:val="20"/>
        </w:rPr>
        <w:t xml:space="preserve">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72. </w:t>
      </w:r>
      <w:r>
        <w:rPr>
          <w:i/>
          <w:iCs/>
          <w:sz w:val="20"/>
          <w:szCs w:val="20"/>
        </w:rPr>
        <w:t xml:space="preserve">cypress</w:t>
      </w:r>
      <w:r>
        <w:rPr>
          <w:sz w:val="20"/>
          <w:szCs w:val="20"/>
        </w:rPr>
        <w:t xml:space="preserve">: tu najpewniej krepa, cienka czarna tkanina żałobna. Słowo przywołuje też cyprys, drzewo żałoby. </w:t>
      </w:r>
      <w:r>
        <w:rPr>
          <w:i/>
          <w:iCs/>
          <w:sz w:val="20"/>
          <w:szCs w:val="20"/>
        </w:rPr>
        <w:t xml:space="preserve">Mourning poles</w:t>
      </w:r>
      <w:r>
        <w:rPr>
          <w:sz w:val="20"/>
          <w:szCs w:val="20"/>
        </w:rPr>
        <w:t xml:space="preserve">: drzewca niesione w kondukcie </w:t>
      </w:r>
      <w:r>
        <w:rPr>
          <w:b/>
          <w:bCs/>
          <w:sz w:val="20"/>
          <w:szCs w:val="20"/>
          <w:shd w:fill="FFF0A0" w:color="auto" w:val="clear"/>
        </w:rPr>
        <w:t xml:space="preserve">[do weryfikacji]</w:t>
      </w:r>
      <w:r>
        <w:rPr>
          <w:sz w:val="20"/>
          <w:szCs w:val="20"/>
        </w:rPr>
        <w:t xml:space="preserve">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74. </w:t>
      </w:r>
      <w:r>
        <w:rPr>
          <w:sz w:val="20"/>
          <w:szCs w:val="20"/>
        </w:rPr>
        <w:t xml:space="preserve">W przekładzie „sukno” za </w:t>
      </w:r>
      <w:r>
        <w:rPr>
          <w:i/>
          <w:iCs/>
          <w:sz w:val="20"/>
          <w:szCs w:val="20"/>
        </w:rPr>
        <w:t xml:space="preserve">palls</w:t>
      </w:r>
      <w:r>
        <w:rPr>
          <w:sz w:val="20"/>
          <w:szCs w:val="20"/>
        </w:rPr>
        <w:t xml:space="preserve"> (całuny na trumnę); słowo „całun” zarezerwowano dla </w:t>
      </w:r>
      <w:r>
        <w:rPr>
          <w:i/>
          <w:iCs/>
          <w:sz w:val="20"/>
          <w:szCs w:val="20"/>
        </w:rPr>
        <w:t xml:space="preserve">shrouds</w:t>
      </w:r>
      <w:r>
        <w:rPr>
          <w:sz w:val="20"/>
          <w:szCs w:val="20"/>
        </w:rPr>
        <w:t xml:space="preserve"> (w. 49).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79–84. </w:t>
      </w:r>
      <w:r>
        <w:rPr>
          <w:sz w:val="20"/>
          <w:szCs w:val="20"/>
        </w:rPr>
        <w:t xml:space="preserve">Ciało jako więzienie duszy: topos platoński (</w:t>
      </w:r>
      <w:r>
        <w:rPr>
          <w:i/>
          <w:iCs/>
          <w:sz w:val="20"/>
          <w:szCs w:val="20"/>
        </w:rPr>
        <w:t xml:space="preserve">Fedon</w:t>
      </w:r>
      <w:r>
        <w:rPr>
          <w:sz w:val="20"/>
          <w:szCs w:val="20"/>
        </w:rPr>
        <w:t xml:space="preserve">) i biblijny, por. Ps 142,8 (KJV 142,7: „Bring my soul out of prison”).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84. </w:t>
      </w:r>
      <w:r>
        <w:rPr>
          <w:sz w:val="20"/>
          <w:szCs w:val="20"/>
        </w:rPr>
        <w:t xml:space="preserve">W przekładzie „w drogę nową” za </w:t>
      </w:r>
      <w:r>
        <w:rPr>
          <w:i/>
          <w:iCs/>
          <w:sz w:val="20"/>
          <w:szCs w:val="20"/>
        </w:rPr>
        <w:t xml:space="preserve">at parting hence</w:t>
      </w:r>
      <w:r>
        <w:rPr>
          <w:sz w:val="20"/>
          <w:szCs w:val="20"/>
        </w:rPr>
        <w:t xml:space="preserve">: wraca obraz śmierci jako drogi z w. 67.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86. </w:t>
      </w:r>
      <w:r>
        <w:rPr>
          <w:i/>
          <w:iCs/>
          <w:sz w:val="20"/>
          <w:szCs w:val="20"/>
        </w:rPr>
        <w:t xml:space="preserve">A few, and evil years</w:t>
      </w:r>
      <w:r>
        <w:rPr>
          <w:sz w:val="20"/>
          <w:szCs w:val="20"/>
        </w:rPr>
        <w:t xml:space="preserve">: słowa Jakuba do faraona, Rdz 47,9 (KJV: „few and evil have the days of the years of my life been”).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89. </w:t>
      </w:r>
      <w:r>
        <w:rPr>
          <w:i/>
          <w:iCs/>
          <w:sz w:val="20"/>
          <w:szCs w:val="20"/>
        </w:rPr>
        <w:t xml:space="preserve">tower</w:t>
      </w:r>
      <w:r>
        <w:rPr>
          <w:sz w:val="20"/>
          <w:szCs w:val="20"/>
        </w:rPr>
        <w:t xml:space="preserve">: w sokolnictwie o ptaku wzbijającym się pionowo w górę.</w:t>
      </w:r>
    </w:p>
    <w:p>
      <w:pPr>
        <w:spacing w:after="80"/>
        <w:jc w:val="both"/>
      </w:pPr>
      <w:r>
        <w:rPr>
          <w:b/>
          <w:bCs/>
          <w:sz w:val="20"/>
          <w:szCs w:val="20"/>
        </w:rPr>
        <w:t xml:space="preserve">w. 90. </w:t>
      </w:r>
      <w:r>
        <w:rPr>
          <w:sz w:val="20"/>
          <w:szCs w:val="20"/>
        </w:rPr>
        <w:t xml:space="preserve">Ostatni wers zamyka drogę światła: od „sinej świecy” w w. 1 do pełnego „blasku dnia”.</w:t>
      </w:r>
    </w:p>
    <w:p>
      <w:pPr>
        <w:pBdr>
          <w:top w:val="dashed" w:color="A08C6A" w:sz="6" w:space="4"/>
          <w:bottom w:val="dashed" w:color="A08C6A" w:sz="6" w:space="4"/>
        </w:pBdr>
        <w:shd w:fill="F3EBDD" w:color="auto" w:val="clear"/>
        <w:spacing w:after="200" w:before="200"/>
        <w:jc w:val="center"/>
      </w:pPr>
      <w:r>
        <w:rPr>
          <w:i/>
          <w:iCs/>
          <w:color w:val="5A4A2A"/>
        </w:rPr>
        <w:t xml:space="preserve">[ILUSTRACJA – opcjonalnie: winieta SVG na końcu utworu (świeca lub gałąź cisu). Ryciny z epoki do tego wiersza – do sprawdzenia]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rPr>
          <w:rFonts w:ascii="Cormorant Garamond" w:cs="Cormorant Garamond" w:eastAsia="Cormorant Garamond" w:hAnsi="Cormorant Garamond"/>
        </w:rPr>
        <w:t xml:space="preserve">Źródła tekstów</w:t>
      </w:r>
    </w:p>
    <w:p>
      <w:pPr>
        <w:pStyle w:val="Heading2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6. Thomas Parnell, A Night-Piece on Death</w:t>
      </w:r>
    </w:p>
    <w:p>
      <w:pPr>
        <w:pStyle w:val="Heading3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Tekst angielski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Wydanie bazowe:</w:t>
      </w:r>
      <w:r>
        <w:t xml:space="preserve"> Thomas Parnell, </w:t>
      </w:r>
      <w:r>
        <w:rPr>
          <w:i/>
          <w:iCs/>
        </w:rPr>
        <w:t xml:space="preserve">Poems on Several Occasions … Published by Mr. Pope</w:t>
      </w:r>
      <w:r>
        <w:t xml:space="preserve">, London: B. Lintot, 1722 [1721], s. 152–157 (ESTC T42652).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Transkrypcja wydania 1722:</w:t>
      </w:r>
      <w:r>
        <w:t xml:space="preserve"> Eighteenth-Century Poetry Archive (CC BY-SA 4.0): https://www.eighteenthcenturypoetry.org/works/o4106-w0170.shtml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Tekst zmodernizowany (pisownia, interpunkcja, cudzysłowy):</w:t>
      </w:r>
      <w:r>
        <w:t xml:space="preserve"> Representative Poetry Online, red. N. J. Endicott: https://rpo.library.utoronto.ca/poems/night-piece-death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Liczba wersów:</w:t>
      </w:r>
      <w:r>
        <w:t xml:space="preserve"> 90 (zgodnie w ECPA i RPO).</w:t>
      </w:r>
    </w:p>
    <w:p>
      <w:pPr>
        <w:pStyle w:val="Heading3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Zasady edycji</w:t>
      </w:r>
    </w:p>
    <w:p>
      <w:pPr>
        <w:spacing w:after="140"/>
        <w:jc w:val="both"/>
      </w:pPr>
      <w:r>
        <w:t xml:space="preserve">Pisownię i interpunkcję przyjęto za RPO, z poprawkami według wyd. 1722: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30: </w:t>
      </w:r>
      <w:r>
        <w:rPr>
          <w:i/>
          <w:iCs/>
        </w:rPr>
        <w:t xml:space="preserve">crumbled</w:t>
      </w:r>
      <w:r>
        <w:t xml:space="preserve"> (1722), nie </w:t>
      </w:r>
      <w:r>
        <w:rPr>
          <w:i/>
          <w:iCs/>
        </w:rPr>
        <w:t xml:space="preserve">crumpled</w:t>
      </w:r>
      <w:r>
        <w:t xml:space="preserve"> (RPO, Poetry Foundation),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32: </w:t>
      </w:r>
      <w:r>
        <w:rPr>
          <w:i/>
          <w:iCs/>
        </w:rPr>
        <w:t xml:space="preserve">Toil</w:t>
      </w:r>
      <w:r>
        <w:t xml:space="preserve">, </w:t>
      </w:r>
      <w:r>
        <w:rPr>
          <w:i/>
          <w:iCs/>
        </w:rPr>
        <w:t xml:space="preserve">Poverty</w:t>
      </w:r>
      <w:r>
        <w:t xml:space="preserve"> wielką literą (personifikacje),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62: </w:t>
      </w:r>
      <w:r>
        <w:rPr>
          <w:i/>
          <w:iCs/>
        </w:rPr>
        <w:t xml:space="preserve">King of Fears</w:t>
      </w:r>
      <w:r>
        <w:t xml:space="preserve"> wielką literą (tytuł Śmierci),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72: </w:t>
      </w:r>
      <w:r>
        <w:rPr>
          <w:i/>
          <w:iCs/>
        </w:rPr>
        <w:t xml:space="preserve">pendent</w:t>
      </w:r>
      <w:r>
        <w:t xml:space="preserve"> (1722; RPO: </w:t>
      </w:r>
      <w:r>
        <w:rPr>
          <w:i/>
          <w:iCs/>
        </w:rPr>
        <w:t xml:space="preserve">pendant</w:t>
      </w:r>
      <w:r>
        <w:t xml:space="preserve">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w. 76: </w:t>
      </w:r>
      <w:r>
        <w:rPr>
          <w:i/>
          <w:iCs/>
        </w:rPr>
        <w:t xml:space="preserve">'scutcheons</w:t>
      </w:r>
      <w:r>
        <w:t xml:space="preserve"> z apostrofem (1722: </w:t>
      </w:r>
      <w:r>
        <w:rPr>
          <w:i/>
          <w:iCs/>
        </w:rPr>
        <w:t xml:space="preserve">'Scutcheons</w:t>
      </w:r>
      <w:r>
        <w:t xml:space="preserve">).</w:t>
      </w:r>
    </w:p>
    <w:p>
      <w:pPr>
        <w:spacing w:after="140"/>
        <w:jc w:val="both"/>
      </w:pPr>
      <w:r>
        <w:t xml:space="preserve">Cudzysłowy w w. 27–28, 52 i 61–90 to dodatek edytorski RPO; w wyd. 1722 ich nie ma. Podział na akapity wierszowe według RPO.</w:t>
      </w:r>
    </w:p>
    <w:p>
      <w:pPr>
        <w:pStyle w:val="Heading3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Research do wstępu i przypisów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Britannica, „Thomas Parnell”: https://www.britannica.com/biography/Thomas-Parnell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York Society Library, City Readers, „Thomas Parnell (1679–1718)” (daty, publikacja XII 1721, śmierć w Chester): https://cityreaders.nysoclib.org/Detail/entities/3411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O. Goldsmith, </w:t>
      </w:r>
      <w:r>
        <w:rPr>
          <w:i/>
          <w:iCs/>
        </w:rPr>
        <w:t xml:space="preserve">The Beauties of English Poesy</w:t>
      </w:r>
      <w:r>
        <w:t xml:space="preserve">, t. II, London 1767, nota przy wierszu (TextGrid): https://textgridrep.org/browse/2s428.0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Miscellanies Index (Bodleian), liczne XVIII-wieczne przedruki: https://dmi.bodleian.ox.ac.uk/catalog/poem_6375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B. Dobrée, </w:t>
      </w:r>
      <w:r>
        <w:rPr>
          <w:i/>
          <w:iCs/>
        </w:rPr>
        <w:t xml:space="preserve">English Literature in the Early Eighteenth Century 1700–1740</w:t>
      </w:r>
      <w:r>
        <w:t xml:space="preserve"> (1959): opinia znana z cytatu wtórnego w opisie antykwarycznym (PBFA) </w:t>
      </w:r>
      <w:r>
        <w:rPr>
          <w:b/>
          <w:bCs/>
          <w:shd w:fill="FFF0A0" w:color="auto" w:val="clear"/>
        </w:rPr>
        <w:t xml:space="preserve">[do weryfikacji w źródle]</w:t>
      </w:r>
      <w:r>
        <w:t xml:space="preserve">: https://www.pbfa.org/books/poems-on-several-occasions-published-by-mr-pope-to-which-is-added-the-life-of-zoilus-and-his-remarks-on-homers-battle-of-the-frogs-and-mice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S. Johnson, </w:t>
      </w:r>
      <w:r>
        <w:rPr>
          <w:i/>
          <w:iCs/>
        </w:rPr>
        <w:t xml:space="preserve">Lives of the Poets</w:t>
      </w:r>
      <w:r>
        <w:t xml:space="preserve">, „Parnell”: porównanie z Grayem </w:t>
      </w:r>
      <w:r>
        <w:rPr>
          <w:b/>
          <w:bCs/>
          <w:shd w:fill="FFF0A0" w:color="auto" w:val="clear"/>
        </w:rPr>
        <w:t xml:space="preserve">[do weryfikacji: nie sprawdzono w tekście]</w:t>
      </w:r>
      <w:r>
        <w:t xml:space="preserve">.</w:t>
      </w:r>
    </w:p>
    <w:p>
      <w:pPr>
        <w:pStyle w:val="Heading3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Motto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Montaigne, </w:t>
      </w:r>
      <w:r>
        <w:rPr>
          <w:i/>
          <w:iCs/>
        </w:rPr>
        <w:t xml:space="preserve">Essais</w:t>
      </w:r>
      <w:r>
        <w:t xml:space="preserve"> I, 20, francuskie brzmienie cytatu: Collège de France, wykład „Écriture de la vie et essai de la mort”: https://www.college-de-france.fr/fr/agenda/cours/ecrire-la-vie-ii/ecriture-de-la-vie-et-essai-de-la-mort-1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Przekład angielski tego fragmentu (wyd. 1864, Hurd and Houghton): https://publicdomainreview.org/collection/that-to-study-philosophy-is-to-learn-to-die-1580</w:t>
      </w:r>
    </w:p>
    <w:p>
      <w:pPr>
        <w:pStyle w:val="Heading3"/>
        <w:spacing w:after="120" w:before="280"/>
      </w:pPr>
      <w:r>
        <w:rPr>
          <w:rFonts w:ascii="Cormorant Garamond" w:cs="Cormorant Garamond" w:eastAsia="Cormorant Garamond" w:hAnsi="Cormorant Garamond"/>
        </w:rPr>
        <w:t xml:space="preserve">Polskie przekłady</w:t>
      </w:r>
    </w:p>
    <w:p>
      <w:pPr>
        <w:spacing w:after="140"/>
        <w:jc w:val="both"/>
      </w:pPr>
      <w:r>
        <w:t xml:space="preserve">Brak (status „–” z wcześniejszych poszukiwań; w tej sesji nie szukano ponownie).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mallCaps/>
        <w:color w:val="8A7A5A"/>
        <w:sz w:val="18"/>
        <w:szCs w:val="18"/>
      </w:rPr>
      <w:t xml:space="preserve">Parnell · Nocne rozmyślanie o śmierci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ormorant Garamond" w:cs="Cormorant Garamond" w:eastAsia="Cormorant Garamond" w:hAnsi="Cormorant Garamon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rmorant Garamond" w:cs="Cormorant Garamond" w:eastAsia="Cormorant Garamond" w:hAnsi="Cormorant Garamond"/>
      <w:smallCaps/>
      <w:color w:val="4A3F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rmorant Garamond" w:cs="Cormorant Garamond" w:eastAsia="Cormorant Garamond" w:hAnsi="Cormorant Garamond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Angielska poezja cmentarna — wersja robocza</dc:title>
  <dc:creator>Claude (przekład roboczy) / Tomek (redakcja)</dc:creator>
  <cp:lastModifiedBy>Un-named</cp:lastModifiedBy>
  <cp:revision>1</cp:revision>
  <dcterms:created xsi:type="dcterms:W3CDTF">2026-10-08T20:33:18.183Z</dcterms:created>
  <dcterms:modified xsi:type="dcterms:W3CDTF">2026-10-08T20:33:18.183Z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