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2" w:lineRule="auto"/>
      </w:pPr>
      <w:r>
        <w:rPr>
          <w:rFonts w:ascii="Calibri" w:hAnsi="Calibri"/>
          <w:b/>
          <w:color w:val="0F7C80"/>
          <w:sz w:val="20"/>
        </w:rPr>
        <w:t>Notatka dla zarządu</w:t>
      </w:r>
    </w:p>
    <w:p>
      <w:pPr>
        <w:spacing w:before="0" w:after="20" w:line="252" w:lineRule="auto"/>
      </w:pPr>
      <w:r>
        <w:rPr>
          <w:rFonts w:ascii="Calibri" w:hAnsi="Calibri"/>
          <w:b/>
          <w:color w:val="1E2A36"/>
          <w:sz w:val="40"/>
        </w:rPr>
        <w:t>Alphabet Inc. (GOOG)</w:t>
      </w:r>
    </w:p>
    <w:p>
      <w:pPr>
        <w:spacing w:before="0" w:after="120" w:line="252" w:lineRule="auto"/>
        <w:pBdr>
          <w:bottom w:val="single" w:sz="8" w:space="4" w:color="0F7C80"/>
        </w:pBdr>
      </w:pPr>
      <w:r>
        <w:rPr>
          <w:rFonts w:ascii="Calibri" w:hAnsi="Calibri"/>
          <w:b w:val="0"/>
          <w:color w:val="6B7785"/>
          <w:sz w:val="19"/>
        </w:rPr>
        <w:t>Data: 2026-10-17  |  dane finansowe: raport 10-K za 2025 r., kurs z 2026-10-16</w:t>
      </w:r>
    </w:p>
    <w:p>
      <w:pPr>
        <w:spacing w:before="140" w:after="40" w:line="252" w:lineRule="auto"/>
      </w:pPr>
      <w:r>
        <w:rPr>
          <w:rFonts w:ascii="Calibri" w:hAnsi="Calibri"/>
          <w:b/>
          <w:color w:val="0F7C80"/>
          <w:sz w:val="23"/>
        </w:rPr>
        <w:t>Najważniejsze wnioski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sz w:val="20"/>
        </w:rPr>
        <w:t xml:space="preserve">Szybki wzrost przy wysokiej rentowności: </w:t>
      </w:r>
      <w:r>
        <w:rPr>
          <w:rFonts w:ascii="Calibri" w:hAnsi="Calibri"/>
          <w:b w:val="0"/>
          <w:sz w:val="20"/>
        </w:rPr>
        <w:t>przychody wzrosły z 350 018 mln USD w 2024 r. do 402 836 mln USD w 2025 r., a zysk netto wyniósł 132 170 mln USD.</w:t>
      </w:r>
      <w:r>
        <w:rPr>
          <w:rFonts w:ascii="Calibri" w:hAnsi="Calibri"/>
          <w:b w:val="0"/>
          <w:color w:val="6B7785"/>
          <w:sz w:val="18"/>
        </w:rPr>
        <w:t xml:space="preserve"> [F-02, F-01, F-07]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sz w:val="20"/>
        </w:rPr>
        <w:t xml:space="preserve">Rekordowe inwestycje w infrastrukturę: </w:t>
      </w:r>
      <w:r>
        <w:rPr>
          <w:rFonts w:ascii="Calibri" w:hAnsi="Calibri"/>
          <w:b w:val="0"/>
          <w:sz w:val="20"/>
        </w:rPr>
        <w:t>nakłady w 2025 r. wyniosły 91 447 mln USD, a na 2026 r. spółka zapowiada ich znaczący wzrost.</w:t>
      </w:r>
      <w:r>
        <w:rPr>
          <w:rFonts w:ascii="Calibri" w:hAnsi="Calibri"/>
          <w:b w:val="0"/>
          <w:color w:val="6B7785"/>
          <w:sz w:val="18"/>
        </w:rPr>
        <w:t xml:space="preserve"> [F-09, F-36]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sz w:val="20"/>
        </w:rPr>
        <w:t xml:space="preserve">Wycena DCF wyraźnie poniżej kursu: </w:t>
      </w:r>
      <w:r>
        <w:rPr>
          <w:rFonts w:ascii="Calibri" w:hAnsi="Calibri"/>
          <w:b w:val="0"/>
          <w:sz w:val="20"/>
        </w:rPr>
        <w:t>przy naszych założeniach wartość akcji to 110,59 USD wobec kursu 336,91 USD (-67,2%); wynik zależy głównie od WACC i nakładów.</w:t>
      </w:r>
      <w:r>
        <w:rPr>
          <w:rFonts w:ascii="Calibri" w:hAnsi="Calibri"/>
          <w:b w:val="0"/>
          <w:color w:val="6B7785"/>
          <w:sz w:val="18"/>
        </w:rPr>
        <w:t xml:space="preserve"> [wycena]</w:t>
      </w:r>
    </w:p>
    <w:p>
      <w:pPr>
        <w:spacing w:before="140" w:after="40" w:line="252" w:lineRule="auto"/>
      </w:pPr>
      <w:r>
        <w:rPr>
          <w:rFonts w:ascii="Calibri" w:hAnsi="Calibri"/>
          <w:b/>
          <w:color w:val="0F7C80"/>
          <w:sz w:val="23"/>
        </w:rPr>
        <w:t>Kluczowe liczby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1644"/>
        <w:gridCol w:w="2041"/>
        <w:gridCol w:w="1191"/>
      </w:tblGrid>
      <w:tr>
        <w:tc>
          <w:tcPr>
            <w:tcW w:type="dxa" w:w="4876"/>
            <w:shd w:val="clear" w:color="auto" w:fill="1E2A3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Pozycja</w:t>
            </w:r>
          </w:p>
        </w:tc>
        <w:tc>
          <w:tcPr>
            <w:tcW w:type="dxa" w:w="1644"/>
            <w:shd w:val="clear" w:color="auto" w:fill="1E2A3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Okres / data</w:t>
            </w:r>
          </w:p>
        </w:tc>
        <w:tc>
          <w:tcPr>
            <w:tcW w:type="dxa" w:w="2041"/>
            <w:shd w:val="clear" w:color="auto" w:fill="1E2A3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Wartość</w:t>
            </w:r>
          </w:p>
        </w:tc>
        <w:tc>
          <w:tcPr>
            <w:tcW w:type="dxa" w:w="1191"/>
            <w:shd w:val="clear" w:color="auto" w:fill="1E2A3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Przychody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2025</w:t>
            </w:r>
          </w:p>
        </w:tc>
        <w:tc>
          <w:tcPr>
            <w:tcW w:type="dxa" w:w="2041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sz w:val="20"/>
              </w:rPr>
              <w:t>402 836 mln USD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6B7785"/>
                <w:sz w:val="18"/>
              </w:rPr>
              <w:t>F-01</w:t>
            </w:r>
          </w:p>
        </w:tc>
      </w:tr>
      <w:tr>
        <w:tc>
          <w:tcPr>
            <w:tcW w:type="dxa" w:w="4876"/>
            <w:shd w:val="clear" w:color="auto" w:fill="F1F4F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Marża operacyjna (zysk operacyjny / przychody)</w:t>
            </w:r>
          </w:p>
        </w:tc>
        <w:tc>
          <w:tcPr>
            <w:tcW w:type="dxa" w:w="1644"/>
            <w:shd w:val="clear" w:color="auto" w:fill="F1F4F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2025</w:t>
            </w:r>
          </w:p>
        </w:tc>
        <w:tc>
          <w:tcPr>
            <w:tcW w:type="dxa" w:w="2041"/>
            <w:shd w:val="clear" w:color="auto" w:fill="F1F4F6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sz w:val="20"/>
              </w:rPr>
              <w:t>32,0%</w:t>
            </w:r>
          </w:p>
        </w:tc>
        <w:tc>
          <w:tcPr>
            <w:tcW w:type="dxa" w:w="1191"/>
            <w:shd w:val="clear" w:color="auto" w:fill="F1F4F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6B7785"/>
                <w:sz w:val="18"/>
              </w:rPr>
              <w:t>wycena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Gotówka i papiery wartościowe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2025-12-31</w:t>
            </w:r>
          </w:p>
        </w:tc>
        <w:tc>
          <w:tcPr>
            <w:tcW w:type="dxa" w:w="2041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sz w:val="20"/>
              </w:rPr>
              <w:t>126 843 mln USD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6B7785"/>
                <w:sz w:val="18"/>
              </w:rPr>
              <w:t>wycena</w:t>
            </w:r>
          </w:p>
        </w:tc>
      </w:tr>
      <w:tr>
        <w:tc>
          <w:tcPr>
            <w:tcW w:type="dxa" w:w="4876"/>
            <w:shd w:val="clear" w:color="auto" w:fill="F1F4F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Wartość jednej akcji z DCF (założenia, nie fakt)</w:t>
            </w:r>
          </w:p>
        </w:tc>
        <w:tc>
          <w:tcPr>
            <w:tcW w:type="dxa" w:w="1644"/>
            <w:shd w:val="clear" w:color="auto" w:fill="F1F4F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2026-10-17</w:t>
            </w:r>
          </w:p>
        </w:tc>
        <w:tc>
          <w:tcPr>
            <w:tcW w:type="dxa" w:w="2041"/>
            <w:shd w:val="clear" w:color="auto" w:fill="F1F4F6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sz w:val="20"/>
              </w:rPr>
              <w:t>110,59 USD</w:t>
            </w:r>
          </w:p>
        </w:tc>
        <w:tc>
          <w:tcPr>
            <w:tcW w:type="dxa" w:w="1191"/>
            <w:shd w:val="clear" w:color="auto" w:fill="F1F4F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6B7785"/>
                <w:sz w:val="18"/>
              </w:rPr>
              <w:t>wycena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Kurs akcji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2026-10-16</w:t>
            </w:r>
          </w:p>
        </w:tc>
        <w:tc>
          <w:tcPr>
            <w:tcW w:type="dxa" w:w="2041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sz w:val="20"/>
              </w:rPr>
              <w:t>336,91 USD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6B7785"/>
                <w:sz w:val="18"/>
              </w:rPr>
              <w:t>R-01</w:t>
            </w:r>
          </w:p>
        </w:tc>
      </w:tr>
      <w:tr>
        <w:tc>
          <w:tcPr>
            <w:tcW w:type="dxa" w:w="4876"/>
            <w:shd w:val="clear" w:color="auto" w:fill="F1F4F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Różnica: wartość z DCF wobec kursu</w:t>
            </w:r>
          </w:p>
        </w:tc>
        <w:tc>
          <w:tcPr>
            <w:tcW w:type="dxa" w:w="1644"/>
            <w:shd w:val="clear" w:color="auto" w:fill="F1F4F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0"/>
              </w:rPr>
              <w:t>2026-10-17</w:t>
            </w:r>
          </w:p>
        </w:tc>
        <w:tc>
          <w:tcPr>
            <w:tcW w:type="dxa" w:w="2041"/>
            <w:shd w:val="clear" w:color="auto" w:fill="F1F4F6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B03A2E"/>
                <w:sz w:val="20"/>
              </w:rPr>
              <w:t>-67,2%</w:t>
            </w:r>
          </w:p>
        </w:tc>
        <w:tc>
          <w:tcPr>
            <w:tcW w:type="dxa" w:w="1191"/>
            <w:shd w:val="clear" w:color="auto" w:fill="F1F4F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6B7785"/>
                <w:sz w:val="18"/>
              </w:rPr>
              <w:t>wycena</w:t>
            </w:r>
          </w:p>
        </w:tc>
      </w:tr>
    </w:tbl>
    <w:p>
      <w:pPr>
        <w:spacing w:before="140" w:after="40" w:line="252" w:lineRule="auto"/>
      </w:pPr>
      <w:r>
        <w:rPr>
          <w:rFonts w:ascii="Calibri" w:hAnsi="Calibri"/>
          <w:b/>
          <w:color w:val="0F7C80"/>
          <w:sz w:val="23"/>
        </w:rPr>
        <w:t>Projekty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sz w:val="20"/>
        </w:rPr>
        <w:t xml:space="preserve">Google Cloud: </w:t>
      </w:r>
      <w:r>
        <w:rPr>
          <w:rFonts w:ascii="Calibri" w:hAnsi="Calibri"/>
          <w:b w:val="0"/>
          <w:sz w:val="20"/>
        </w:rPr>
        <w:t>przychody segmentu wzrosły z 43 229 mln USD do 58 705 mln USD, a portfel zamówień na koniec 2025 r. to 242,80 mld USD.</w:t>
      </w:r>
      <w:r>
        <w:rPr>
          <w:rFonts w:ascii="Calibri" w:hAnsi="Calibri"/>
          <w:b w:val="0"/>
          <w:color w:val="6B7785"/>
          <w:sz w:val="18"/>
        </w:rPr>
        <w:t xml:space="preserve"> [F-28, F-23, F-32]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sz w:val="20"/>
        </w:rPr>
        <w:t xml:space="preserve">Gemini i własne układy AI: </w:t>
      </w:r>
      <w:r>
        <w:rPr>
          <w:rFonts w:ascii="Calibri" w:hAnsi="Calibri"/>
          <w:b w:val="0"/>
          <w:sz w:val="20"/>
        </w:rPr>
        <w:t>modele Gemini działają we wszystkich 15 produktach z ponad pół miliardem użytkowników; spółka rozwija własne układy TPU (Ironwood).</w:t>
      </w:r>
      <w:r>
        <w:rPr>
          <w:rFonts w:ascii="Calibri" w:hAnsi="Calibri"/>
          <w:b w:val="0"/>
          <w:color w:val="6B7785"/>
          <w:sz w:val="18"/>
        </w:rPr>
        <w:t xml:space="preserve"> [F-30, F-31]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sz w:val="20"/>
        </w:rPr>
        <w:t xml:space="preserve">Waymo: </w:t>
      </w:r>
      <w:r>
        <w:rPr>
          <w:rFonts w:ascii="Calibri" w:hAnsi="Calibri"/>
          <w:b w:val="0"/>
          <w:sz w:val="20"/>
        </w:rPr>
        <w:t>w pełni autonomiczne, płatne przejazdy w wielu miastach; w lutym 2026 r. runda finansowania 16 mld USD, głównie od Alphabet.</w:t>
      </w:r>
      <w:r>
        <w:rPr>
          <w:rFonts w:ascii="Calibri" w:hAnsi="Calibri"/>
          <w:b w:val="0"/>
          <w:color w:val="6B7785"/>
          <w:sz w:val="18"/>
        </w:rPr>
        <w:t xml:space="preserve"> [F-34, F-33]</w:t>
      </w:r>
    </w:p>
    <w:p>
      <w:pPr>
        <w:spacing w:before="140" w:after="40" w:line="252" w:lineRule="auto"/>
      </w:pPr>
      <w:r>
        <w:rPr>
          <w:rFonts w:ascii="Calibri" w:hAnsi="Calibri"/>
          <w:b/>
          <w:color w:val="0F7C80"/>
          <w:sz w:val="23"/>
        </w:rPr>
        <w:t>Ryzyka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sz w:val="20"/>
        </w:rPr>
        <w:t xml:space="preserve">Zależność od reklam: </w:t>
      </w:r>
      <w:r>
        <w:rPr>
          <w:rFonts w:ascii="Calibri" w:hAnsi="Calibri"/>
          <w:b w:val="0"/>
          <w:sz w:val="20"/>
        </w:rPr>
        <w:t>duża część przychodów pochodzi z reklam; mniejsze wydatki reklamodawców, utrata partnerów, zmiany w reklamie online lub blokowanie reklam mogą zaszkodzić biznesowi.</w:t>
      </w:r>
      <w:r>
        <w:rPr>
          <w:rFonts w:ascii="Calibri" w:hAnsi="Calibri"/>
          <w:b w:val="0"/>
          <w:color w:val="6B7785"/>
          <w:sz w:val="18"/>
        </w:rPr>
        <w:t xml:space="preserve"> [F-39]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sz w:val="20"/>
        </w:rPr>
        <w:t xml:space="preserve">Ryzykowne inwestycje w nowe obszary (w tym AI): </w:t>
      </w:r>
      <w:r>
        <w:rPr>
          <w:rFonts w:ascii="Calibri" w:hAnsi="Calibri"/>
          <w:b w:val="0"/>
          <w:sz w:val="20"/>
        </w:rPr>
        <w:t>rosnące inwestycje w nowe biznesy, produkty i technologie są z natury ryzykowne i mogą zaszkodzić wynikom.</w:t>
      </w:r>
      <w:r>
        <w:rPr>
          <w:rFonts w:ascii="Calibri" w:hAnsi="Calibri"/>
          <w:b w:val="0"/>
          <w:color w:val="6B7785"/>
          <w:sz w:val="18"/>
        </w:rPr>
        <w:t xml:space="preserve"> [F-40]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sz w:val="20"/>
        </w:rPr>
        <w:t xml:space="preserve">Spory prawne i regulacje (w tym konkurencja): </w:t>
      </w:r>
      <w:r>
        <w:rPr>
          <w:rFonts w:ascii="Calibri" w:hAnsi="Calibri"/>
          <w:b w:val="0"/>
          <w:sz w:val="20"/>
        </w:rPr>
        <w:t>pozwy, postępowania regulacyjne i antymonopolowe mogą zaszkodzić biznesowi, reputacji i wynikom.</w:t>
      </w:r>
      <w:r>
        <w:rPr>
          <w:rFonts w:ascii="Calibri" w:hAnsi="Calibri"/>
          <w:b w:val="0"/>
          <w:color w:val="6B7785"/>
          <w:sz w:val="18"/>
        </w:rPr>
        <w:t xml:space="preserve"> [F-41]</w:t>
      </w:r>
    </w:p>
    <w:p>
      <w:pPr>
        <w:spacing w:before="140" w:after="40" w:line="252" w:lineRule="auto"/>
      </w:pPr>
      <w:r>
        <w:rPr>
          <w:rFonts w:ascii="Calibri" w:hAnsi="Calibri"/>
          <w:b/>
          <w:color w:val="0F7C80"/>
          <w:sz w:val="23"/>
        </w:rPr>
        <w:t>Źródła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6B7785"/>
          <w:sz w:val="18"/>
        </w:rPr>
        <w:t>Alphabet Inc. - raport roczny 10-K za 2025 r. (SEC EDGAR), strony i wpisy ledgera: s. 4: F-30, F-31, F-33; s. 9: F-39, F-40; s. 18: F-41; s. 33: F-23, F-28, F-34; s. 38: F-36; s. 49: F-01, F-02, F-07; s. 52: F-09; s. 60: F-32. Yahoo Finance - chart API (odpowiedź JSON) [R-01], pobrano 2026-10-17. Wycena i wielkości wyliczone: model GOOG/wyniki/GOOG_DCF.xlsx [wycena], założenia w ledgerze (wpisy Z). Wszystkie wpisy ledgera mają dosłowny cytat ze źródła i zostały sprawdzone dwiema bramkami.</w:t>
      </w:r>
    </w:p>
    <w:p>
      <w:pPr>
        <w:spacing w:before="0" w:after="0" w:line="252" w:lineRule="auto"/>
      </w:pPr>
      <w:r>
        <w:rPr>
          <w:rFonts w:ascii="Calibri" w:hAnsi="Calibri"/>
          <w:b/>
          <w:color w:val="1E2A36"/>
          <w:sz w:val="18"/>
        </w:rPr>
        <w:t>Materiał edukacyjny, nie stanowi rekomendacji inwestycyjnej.</w:t>
      </w:r>
    </w:p>
    <w:sectPr w:rsidR="00FC693F" w:rsidRPr="0006063C" w:rsidSect="00034616">
      <w:pgSz w:w="11906" w:h="16838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 - notatka dla zarządu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pl-PL</dc:language>
</cp:coreProperties>
</file>