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</w:pPr>
      <w:r>
        <w:rPr>
          <w:rFonts w:ascii="Calibri" w:hAnsi="Calibri"/>
          <w:b/>
          <w:i w:val="0"/>
          <w:color w:val="0F7C80"/>
          <w:sz w:val="20"/>
        </w:rPr>
        <w:t>Notatka dla zarządu</w:t>
      </w:r>
    </w:p>
    <w:p>
      <w:pPr>
        <w:spacing w:before="0" w:after="20" w:line="252" w:lineRule="auto"/>
      </w:pPr>
      <w:r>
        <w:rPr>
          <w:rFonts w:ascii="Calibri" w:hAnsi="Calibri"/>
          <w:b/>
          <w:i w:val="0"/>
          <w:color w:val="1E2A36"/>
          <w:sz w:val="40"/>
        </w:rPr>
        <w:t>Meta Platforms, Inc. (META)</w:t>
      </w:r>
    </w:p>
    <w:p>
      <w:pPr>
        <w:spacing w:before="0" w:after="120" w:line="252" w:lineRule="auto"/>
        <w:pBdr>
          <w:bottom w:val="single" w:sz="8" w:space="4" w:color="0F7C80"/>
        </w:pBdr>
      </w:pPr>
      <w:r>
        <w:rPr>
          <w:rFonts w:ascii="Calibri" w:hAnsi="Calibri"/>
          <w:b w:val="0"/>
          <w:i w:val="0"/>
          <w:color w:val="6B7785"/>
          <w:sz w:val="19"/>
        </w:rPr>
        <w:t>Data: 2026-10-17  |  dane finansowe: raport 10-K za 2025 r., kurs z 2026-10-16</w:t>
      </w:r>
    </w:p>
    <w:p>
      <w:pPr>
        <w:spacing w:before="140" w:after="40" w:line="252" w:lineRule="auto"/>
      </w:pPr>
      <w:r>
        <w:rPr>
          <w:rFonts w:ascii="Calibri" w:hAnsi="Calibri"/>
          <w:b/>
          <w:i w:val="0"/>
          <w:color w:val="0F7C80"/>
          <w:sz w:val="23"/>
        </w:rPr>
        <w:t>Najważniejsze wnioski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sz w:val="20"/>
        </w:rPr>
        <w:t xml:space="preserve">Silny, rentowny biznes reklamowy: </w:t>
      </w:r>
      <w:r>
        <w:rPr>
          <w:rFonts w:ascii="Calibri" w:hAnsi="Calibri"/>
          <w:b w:val="0"/>
          <w:i w:val="0"/>
          <w:sz w:val="20"/>
        </w:rPr>
        <w:t>przychody wzrosły z 164 501 mln USD w 2024 r. do 200 966 mln USD w 2025 r. przy marży operacyjnej 41%.</w:t>
      </w:r>
      <w:r>
        <w:rPr>
          <w:rFonts w:ascii="Calibri" w:hAnsi="Calibri"/>
          <w:b w:val="0"/>
          <w:i w:val="0"/>
          <w:color w:val="6B7785"/>
          <w:sz w:val="18"/>
        </w:rPr>
        <w:t xml:space="preserve"> [F-02, F-01, F-27]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sz w:val="20"/>
        </w:rPr>
        <w:t xml:space="preserve">Rekordowe inwestycje w AI: </w:t>
      </w:r>
      <w:r>
        <w:rPr>
          <w:rFonts w:ascii="Calibri" w:hAnsi="Calibri"/>
          <w:b w:val="0"/>
          <w:i w:val="0"/>
          <w:sz w:val="20"/>
        </w:rPr>
        <w:t>nakłady na środki trwałe wyniosły 69 691 mln USD w 2025 r., a plan na 2026 r. to od 115 do 135 mld USD.</w:t>
      </w:r>
      <w:r>
        <w:rPr>
          <w:rFonts w:ascii="Calibri" w:hAnsi="Calibri"/>
          <w:b w:val="0"/>
          <w:i w:val="0"/>
          <w:color w:val="6B7785"/>
          <w:sz w:val="18"/>
        </w:rPr>
        <w:t xml:space="preserve"> [F-09, F-33, F-34]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sz w:val="20"/>
        </w:rPr>
        <w:t xml:space="preserve">Wycena wymaga ostrożności: </w:t>
      </w:r>
      <w:r>
        <w:rPr>
          <w:rFonts w:ascii="Calibri" w:hAnsi="Calibri"/>
          <w:b w:val="0"/>
          <w:i w:val="0"/>
          <w:sz w:val="20"/>
        </w:rPr>
        <w:t>przy naszych założeniach model DCF daje 344,99 USD na akcję wobec kursu 709,33 USD (-51,4%); 89% wartości firmy przypada na lata po 2030 r., więc wynik silnie zależy od założeń.</w:t>
      </w:r>
      <w:r>
        <w:rPr>
          <w:rFonts w:ascii="Calibri" w:hAnsi="Calibri"/>
          <w:b w:val="0"/>
          <w:i w:val="0"/>
          <w:color w:val="6B7785"/>
          <w:sz w:val="18"/>
        </w:rPr>
        <w:t xml:space="preserve"> [wycena, R-01]</w:t>
      </w:r>
    </w:p>
    <w:p>
      <w:pPr>
        <w:spacing w:before="140" w:after="40" w:line="252" w:lineRule="auto"/>
      </w:pPr>
      <w:r>
        <w:rPr>
          <w:rFonts w:ascii="Calibri" w:hAnsi="Calibri"/>
          <w:b/>
          <w:i w:val="0"/>
          <w:color w:val="0F7C80"/>
          <w:sz w:val="23"/>
        </w:rPr>
        <w:t>Kluczowe liczby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1644"/>
        <w:gridCol w:w="2041"/>
        <w:gridCol w:w="1191"/>
      </w:tblGrid>
      <w:tr>
        <w:tc>
          <w:tcPr>
            <w:tcW w:type="dxa" w:w="4876"/>
            <w:shd w:val="clear" w:color="auto" w:fill="1E2A3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Pozycja</w:t>
            </w:r>
          </w:p>
        </w:tc>
        <w:tc>
          <w:tcPr>
            <w:tcW w:type="dxa" w:w="1644"/>
            <w:shd w:val="clear" w:color="auto" w:fill="1E2A3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Okres / data</w:t>
            </w:r>
          </w:p>
        </w:tc>
        <w:tc>
          <w:tcPr>
            <w:tcW w:type="dxa" w:w="2041"/>
            <w:shd w:val="clear" w:color="auto" w:fill="1E2A3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Wartość</w:t>
            </w:r>
          </w:p>
        </w:tc>
        <w:tc>
          <w:tcPr>
            <w:tcW w:type="dxa" w:w="1191"/>
            <w:shd w:val="clear" w:color="auto" w:fill="1E2A3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Przychody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2041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20"/>
              </w:rPr>
              <w:t>200 966 mln USD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785"/>
                <w:sz w:val="18"/>
              </w:rPr>
              <w:t>F-01</w:t>
            </w:r>
          </w:p>
        </w:tc>
      </w:tr>
      <w:tr>
        <w:tc>
          <w:tcPr>
            <w:tcW w:type="dxa" w:w="4876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Marża operacyjna</w:t>
            </w:r>
          </w:p>
        </w:tc>
        <w:tc>
          <w:tcPr>
            <w:tcW w:type="dxa" w:w="1644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2025</w:t>
            </w:r>
          </w:p>
        </w:tc>
        <w:tc>
          <w:tcPr>
            <w:tcW w:type="dxa" w:w="2041"/>
            <w:shd w:val="clear" w:color="auto" w:fill="F1F4F6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20"/>
              </w:rPr>
              <w:t>41%</w:t>
            </w:r>
          </w:p>
        </w:tc>
        <w:tc>
          <w:tcPr>
            <w:tcW w:type="dxa" w:w="1191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785"/>
                <w:sz w:val="18"/>
              </w:rPr>
              <w:t>F-27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Gotówka, ekwiwalenty i papiery wartościowe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2025-12-31</w:t>
            </w:r>
          </w:p>
        </w:tc>
        <w:tc>
          <w:tcPr>
            <w:tcW w:type="dxa" w:w="2041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20"/>
              </w:rPr>
              <w:t>81,59 mld USD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785"/>
                <w:sz w:val="18"/>
              </w:rPr>
              <w:t>F-14</w:t>
            </w:r>
          </w:p>
        </w:tc>
      </w:tr>
      <w:tr>
        <w:tc>
          <w:tcPr>
            <w:tcW w:type="dxa" w:w="4876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Wartość jednej akcji z DCF (założenia, nie fakt)</w:t>
            </w:r>
          </w:p>
        </w:tc>
        <w:tc>
          <w:tcPr>
            <w:tcW w:type="dxa" w:w="1644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2026-10-17</w:t>
            </w:r>
          </w:p>
        </w:tc>
        <w:tc>
          <w:tcPr>
            <w:tcW w:type="dxa" w:w="2041"/>
            <w:shd w:val="clear" w:color="auto" w:fill="F1F4F6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20"/>
              </w:rPr>
              <w:t>344,99 USD</w:t>
            </w:r>
          </w:p>
        </w:tc>
        <w:tc>
          <w:tcPr>
            <w:tcW w:type="dxa" w:w="1191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785"/>
                <w:sz w:val="18"/>
              </w:rPr>
              <w:t>wycena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Kurs akcji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2026-10-16</w:t>
            </w:r>
          </w:p>
        </w:tc>
        <w:tc>
          <w:tcPr>
            <w:tcW w:type="dxa" w:w="2041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sz w:val="20"/>
              </w:rPr>
              <w:t>709,33 USD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785"/>
                <w:sz w:val="18"/>
              </w:rPr>
              <w:t>R-01</w:t>
            </w:r>
          </w:p>
        </w:tc>
      </w:tr>
      <w:tr>
        <w:tc>
          <w:tcPr>
            <w:tcW w:type="dxa" w:w="4876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Różnica: wartość z DCF wobec kursu</w:t>
            </w:r>
          </w:p>
        </w:tc>
        <w:tc>
          <w:tcPr>
            <w:tcW w:type="dxa" w:w="1644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2026-10-17</w:t>
            </w:r>
          </w:p>
        </w:tc>
        <w:tc>
          <w:tcPr>
            <w:tcW w:type="dxa" w:w="2041"/>
            <w:shd w:val="clear" w:color="auto" w:fill="F1F4F6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B03A2E"/>
                <w:sz w:val="20"/>
              </w:rPr>
              <w:t>-51,4%</w:t>
            </w:r>
          </w:p>
        </w:tc>
        <w:tc>
          <w:tcPr>
            <w:tcW w:type="dxa" w:w="1191"/>
            <w:shd w:val="clear" w:color="auto" w:fill="F1F4F6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785"/>
                <w:sz w:val="18"/>
              </w:rPr>
              <w:t>wycena</w:t>
            </w:r>
          </w:p>
        </w:tc>
      </w:tr>
    </w:tbl>
    <w:p>
      <w:pPr>
        <w:spacing w:before="140" w:after="40" w:line="252" w:lineRule="auto"/>
      </w:pPr>
      <w:r>
        <w:rPr>
          <w:rFonts w:ascii="Calibri" w:hAnsi="Calibri"/>
          <w:b/>
          <w:i w:val="0"/>
          <w:color w:val="0F7C80"/>
          <w:sz w:val="23"/>
        </w:rPr>
        <w:t>Projekty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sz w:val="20"/>
        </w:rPr>
        <w:t xml:space="preserve">Sztuczna inteligencja: </w:t>
      </w:r>
      <w:r>
        <w:rPr>
          <w:rFonts w:ascii="Calibri" w:hAnsi="Calibri"/>
          <w:b w:val="0"/>
          <w:i w:val="0"/>
          <w:sz w:val="20"/>
        </w:rPr>
        <w:t>spółka deklaruje cel zbudowania superinteligencji, czyli AI przewyższającej ludzką inteligencję, a z jej aplikacji korzysta dziennie 3,58 mld osób.</w:t>
      </w:r>
      <w:r>
        <w:rPr>
          <w:rFonts w:ascii="Calibri" w:hAnsi="Calibri"/>
          <w:b w:val="0"/>
          <w:i w:val="0"/>
          <w:color w:val="6B7785"/>
          <w:sz w:val="18"/>
        </w:rPr>
        <w:t xml:space="preserve"> [F-29, F-28]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sz w:val="20"/>
        </w:rPr>
        <w:t xml:space="preserve">Okulary AI i urządzenia noszone: </w:t>
      </w:r>
      <w:r>
        <w:rPr>
          <w:rFonts w:ascii="Calibri" w:hAnsi="Calibri"/>
          <w:b w:val="0"/>
          <w:i w:val="0"/>
          <w:sz w:val="20"/>
        </w:rPr>
        <w:t>w 2025 r. weszły okulary Meta Ray-Ban Display z wyświetlaczem w szkle, a w 2026 r. ok. 70% kosztów Reality Labs ma trafić na urządzenia noszone.</w:t>
      </w:r>
      <w:r>
        <w:rPr>
          <w:rFonts w:ascii="Calibri" w:hAnsi="Calibri"/>
          <w:b w:val="0"/>
          <w:i w:val="0"/>
          <w:color w:val="6B7785"/>
          <w:sz w:val="18"/>
        </w:rPr>
        <w:t xml:space="preserve"> [F-30, F-31]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sz w:val="20"/>
        </w:rPr>
        <w:t xml:space="preserve">Centra danych: </w:t>
      </w:r>
      <w:r>
        <w:rPr>
          <w:rFonts w:ascii="Calibri" w:hAnsi="Calibri"/>
          <w:b w:val="0"/>
          <w:i w:val="0"/>
          <w:sz w:val="20"/>
        </w:rPr>
        <w:t>spółka ma 30 własnych lokalizacji centrów danych na świecie, a w wybranych miejscach dodatkowo dzierżawi centra danych.</w:t>
      </w:r>
      <w:r>
        <w:rPr>
          <w:rFonts w:ascii="Calibri" w:hAnsi="Calibri"/>
          <w:b w:val="0"/>
          <w:i w:val="0"/>
          <w:color w:val="6B7785"/>
          <w:sz w:val="18"/>
        </w:rPr>
        <w:t xml:space="preserve"> [F-32]</w:t>
      </w:r>
    </w:p>
    <w:p>
      <w:pPr>
        <w:spacing w:before="140" w:after="40" w:line="252" w:lineRule="auto"/>
      </w:pPr>
      <w:r>
        <w:rPr>
          <w:rFonts w:ascii="Calibri" w:hAnsi="Calibri"/>
          <w:b/>
          <w:i w:val="0"/>
          <w:color w:val="0F7C80"/>
          <w:sz w:val="23"/>
        </w:rPr>
        <w:t>Ryzyka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sz w:val="20"/>
        </w:rPr>
        <w:t xml:space="preserve">Zależność od reklam: </w:t>
      </w:r>
      <w:r>
        <w:rPr>
          <w:rFonts w:ascii="Calibri" w:hAnsi="Calibri"/>
          <w:b w:val="0"/>
          <w:i w:val="0"/>
          <w:sz w:val="20"/>
        </w:rPr>
        <w:t>niemal wszystkie przychody pochodzą z reklam; odejście reklamodawców lub cięcie ich wydatków mocno zaszkodzi spółce.</w:t>
      </w:r>
      <w:r>
        <w:rPr>
          <w:rFonts w:ascii="Calibri" w:hAnsi="Calibri"/>
          <w:b w:val="0"/>
          <w:i w:val="0"/>
          <w:color w:val="6B7785"/>
          <w:sz w:val="18"/>
        </w:rPr>
        <w:t xml:space="preserve"> [F-35]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sz w:val="20"/>
        </w:rPr>
        <w:t xml:space="preserve">Inwestycje w AI: </w:t>
      </w:r>
      <w:r>
        <w:rPr>
          <w:rFonts w:ascii="Calibri" w:hAnsi="Calibri"/>
          <w:b w:val="0"/>
          <w:i w:val="0"/>
          <w:sz w:val="20"/>
        </w:rPr>
        <w:t>duże inwestycje, zwłaszcza w AI i Reality Labs, obniżają marżę operacyjną i rentowność; jeśli w dłuższym terminie się nie powiodą, ucierpią biznes i wyniki finansowe.</w:t>
      </w:r>
      <w:r>
        <w:rPr>
          <w:rFonts w:ascii="Calibri" w:hAnsi="Calibri"/>
          <w:b w:val="0"/>
          <w:i w:val="0"/>
          <w:color w:val="6B7785"/>
          <w:sz w:val="18"/>
        </w:rPr>
        <w:t xml:space="preserve"> [F-36]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i w:val="0"/>
          <w:sz w:val="20"/>
        </w:rPr>
        <w:t xml:space="preserve">Regulacje: </w:t>
      </w:r>
      <w:r>
        <w:rPr>
          <w:rFonts w:ascii="Calibri" w:hAnsi="Calibri"/>
          <w:b w:val="0"/>
          <w:i w:val="0"/>
          <w:sz w:val="20"/>
        </w:rPr>
        <w:t>złożone i zmieniające się przepisy w USA i za granicą (prywatność, dane, konkurencja, AI).</w:t>
      </w:r>
      <w:r>
        <w:rPr>
          <w:rFonts w:ascii="Calibri" w:hAnsi="Calibri"/>
          <w:b w:val="0"/>
          <w:i w:val="0"/>
          <w:color w:val="6B7785"/>
          <w:sz w:val="18"/>
        </w:rPr>
        <w:t xml:space="preserve"> [F-37]</w:t>
      </w:r>
    </w:p>
    <w:p>
      <w:pPr>
        <w:spacing w:before="140" w:after="40" w:line="252" w:lineRule="auto"/>
      </w:pPr>
      <w:r>
        <w:rPr>
          <w:rFonts w:ascii="Calibri" w:hAnsi="Calibri"/>
          <w:b/>
          <w:i w:val="0"/>
          <w:color w:val="0F7C80"/>
          <w:sz w:val="23"/>
        </w:rPr>
        <w:t>Źródła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6B7785"/>
          <w:sz w:val="18"/>
        </w:rPr>
        <w:t>Meta Platforms, Inc. - raport roczny 10-K za 2025 r. (SEC EDGAR), strony i wpisy ledgera: s. 6: F-29; s. 7: F-30, F-31; s. 12: F-37; s. 15: F-35; s. 26: F-36; s. 51: F-32; s. 61: F-27, F-28; s. 77: F-14, F-33, F-34; s. 89: F-01, F-02; s. 92: F-09. Yahoo Finance - chart API (odpowiedź JSON) [R-01], pobrano 2026-10-17. Wycena: model META/wyniki/META_DCF.xlsx [wycena], założenia w ledgerze (wpisy Z). Wszystkie wpisy ledgera mają dosłowny cytat ze źródła i zostały sprawdzone dwiema bramkami.</w:t>
      </w:r>
    </w:p>
    <w:p>
      <w:pPr>
        <w:spacing w:before="0" w:after="0" w:line="252" w:lineRule="auto"/>
      </w:pPr>
      <w:r>
        <w:rPr>
          <w:rFonts w:ascii="Calibri" w:hAnsi="Calibri"/>
          <w:b/>
          <w:i w:val="0"/>
          <w:color w:val="1E2A36"/>
          <w:sz w:val="18"/>
        </w:rPr>
        <w:t>Materiał edukacyjny, nie stanowi rekomendacji inwestycyjnej.</w:t>
      </w:r>
    </w:p>
    <w:sectPr w:rsidR="00FC693F" w:rsidRPr="0006063C" w:rsidSect="00034616">
      <w:pgSz w:w="11906" w:h="16838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 - notatka dla zarządu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