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ReACT output for background scalar field and Hubble rate based on Fig.2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https://arxiv.org/abs/2110.00566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Columns: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a,  H_MG,  H_LCDM, H_MG/H_LCDM,  aH dH/da / H0^2 ,  phi , d phi/ dlna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use the following parameters as input: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K-mouflage parameters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double n = 2.;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double K0 = 10.;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double beta0 = 0.2;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double lambda = 1.461; //K0=10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//double lambda = 1.476; //K0=1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double Omega_m = 0.3089;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Klein Gordon initial conditions: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Initial conditions for scalar field and first scale factor derivative (MG-GLAM set both to 1e-30 but this gives wrong results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double phii = 1e-30;  // phi | initial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double phidi = -1e-6; // d phi / d lna | initial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abs/2110.005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