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BD6338" w:rsidRDefault="00BD6338" w:rsidP="00BD6338">
      <w:pPr>
        <w:rPr>
          <w:rFonts w:cs="Arial"/>
          <w:b/>
          <w:sz w:val="36"/>
          <w:szCs w:val="36"/>
        </w:rPr>
      </w:pPr>
    </w:p>
    <w:p w:rsidR="00547D35" w:rsidRDefault="00547D35" w:rsidP="00BD6338">
      <w:pPr>
        <w:jc w:val="center"/>
        <w:rPr>
          <w:rFonts w:cs="Arial"/>
          <w:b/>
          <w:sz w:val="36"/>
          <w:szCs w:val="36"/>
        </w:rPr>
      </w:pPr>
      <w:r>
        <w:rPr>
          <w:rFonts w:cs="Arial"/>
          <w:b/>
          <w:sz w:val="36"/>
          <w:szCs w:val="36"/>
        </w:rPr>
        <w:t xml:space="preserve">Konstrukcja i sterowanie </w:t>
      </w:r>
      <w:r w:rsidR="00071060">
        <w:rPr>
          <w:rFonts w:cs="Arial"/>
          <w:b/>
          <w:sz w:val="36"/>
          <w:szCs w:val="36"/>
        </w:rPr>
        <w:t>automatycznego dystrybutora napojów</w:t>
      </w:r>
    </w:p>
    <w:p w:rsidR="00547D35" w:rsidRDefault="00547D35" w:rsidP="00547D35">
      <w:pPr>
        <w:jc w:val="center"/>
        <w:rPr>
          <w:rFonts w:cs="Arial"/>
          <w:b/>
          <w:sz w:val="36"/>
          <w:szCs w:val="36"/>
        </w:rPr>
      </w:pPr>
    </w:p>
    <w:p w:rsidR="00547D35" w:rsidRDefault="00547D35" w:rsidP="00547D35">
      <w:pPr>
        <w:jc w:val="center"/>
        <w:rPr>
          <w:rFonts w:cs="Arial"/>
          <w:b/>
          <w:sz w:val="36"/>
          <w:szCs w:val="36"/>
        </w:rPr>
      </w:pPr>
    </w:p>
    <w:p w:rsidR="00547D35" w:rsidRDefault="00547D35" w:rsidP="00547D35">
      <w:pPr>
        <w:jc w:val="center"/>
        <w:rPr>
          <w:rFonts w:cs="Arial"/>
          <w:b/>
          <w:sz w:val="36"/>
          <w:szCs w:val="36"/>
        </w:rPr>
      </w:pPr>
    </w:p>
    <w:p w:rsidR="00547D35" w:rsidRDefault="00547D35" w:rsidP="00547D35">
      <w:pPr>
        <w:jc w:val="center"/>
        <w:rPr>
          <w:rFonts w:cs="Arial"/>
          <w:b/>
          <w:sz w:val="36"/>
          <w:szCs w:val="36"/>
        </w:rPr>
      </w:pPr>
    </w:p>
    <w:p w:rsidR="00547D35" w:rsidRDefault="00547D35" w:rsidP="00547D35">
      <w:pPr>
        <w:jc w:val="center"/>
        <w:rPr>
          <w:rFonts w:cs="Arial"/>
          <w:b/>
          <w:sz w:val="36"/>
          <w:szCs w:val="36"/>
        </w:rPr>
      </w:pPr>
    </w:p>
    <w:p w:rsidR="00547D35" w:rsidRDefault="00547D35" w:rsidP="00547D35">
      <w:pPr>
        <w:jc w:val="center"/>
        <w:rPr>
          <w:rFonts w:cs="Arial"/>
          <w:b/>
          <w:sz w:val="36"/>
          <w:szCs w:val="36"/>
        </w:rPr>
      </w:pPr>
    </w:p>
    <w:p w:rsidR="00547D35" w:rsidRDefault="00547D35" w:rsidP="00547D35">
      <w:pPr>
        <w:jc w:val="center"/>
        <w:rPr>
          <w:rFonts w:cs="Arial"/>
          <w:b/>
          <w:sz w:val="36"/>
          <w:szCs w:val="36"/>
        </w:rPr>
      </w:pPr>
    </w:p>
    <w:p w:rsidR="00547D35" w:rsidRDefault="00547D35" w:rsidP="00547D35">
      <w:pPr>
        <w:jc w:val="center"/>
        <w:rPr>
          <w:rFonts w:cs="Arial"/>
          <w:b/>
          <w:sz w:val="36"/>
          <w:szCs w:val="36"/>
        </w:rPr>
      </w:pPr>
    </w:p>
    <w:p w:rsidR="002A3EC7" w:rsidRDefault="002A3EC7" w:rsidP="00547D35">
      <w:pPr>
        <w:jc w:val="center"/>
        <w:rPr>
          <w:rFonts w:cs="Arial"/>
          <w:b/>
          <w:sz w:val="36"/>
          <w:szCs w:val="36"/>
        </w:rPr>
      </w:pPr>
    </w:p>
    <w:p w:rsidR="002A3EC7" w:rsidRPr="00CB7ACA" w:rsidRDefault="00071060" w:rsidP="005701A5">
      <w:pPr>
        <w:ind w:firstLine="708"/>
        <w:rPr>
          <w:rFonts w:cs="Arial"/>
          <w:b/>
          <w:sz w:val="32"/>
          <w:szCs w:val="32"/>
        </w:rPr>
      </w:pPr>
      <w:r>
        <w:rPr>
          <w:rFonts w:cs="Arial"/>
          <w:b/>
          <w:sz w:val="32"/>
          <w:szCs w:val="32"/>
        </w:rPr>
        <w:t>Opracował:</w:t>
      </w:r>
    </w:p>
    <w:p w:rsidR="00547D35" w:rsidRDefault="00547D35" w:rsidP="00FC1FC2">
      <w:pPr>
        <w:ind w:left="709" w:hanging="1"/>
        <w:rPr>
          <w:rFonts w:cs="Arial"/>
          <w:b/>
          <w:sz w:val="32"/>
          <w:szCs w:val="32"/>
        </w:rPr>
      </w:pPr>
      <w:r>
        <w:rPr>
          <w:rFonts w:cs="Arial"/>
          <w:b/>
          <w:sz w:val="32"/>
          <w:szCs w:val="32"/>
        </w:rPr>
        <w:t xml:space="preserve">inż. Bartosz Bączek – Politechnika </w:t>
      </w:r>
      <w:r w:rsidR="00FC1FC2">
        <w:rPr>
          <w:rFonts w:cs="Arial"/>
          <w:b/>
          <w:sz w:val="32"/>
          <w:szCs w:val="32"/>
        </w:rPr>
        <w:t>Śląska, Gliwice</w:t>
      </w:r>
    </w:p>
    <w:p w:rsidR="000F7838" w:rsidRDefault="00962E09"/>
    <w:p w:rsidR="002A3EC7" w:rsidRDefault="002A3EC7">
      <w:pPr>
        <w:sectPr w:rsidR="002A3EC7" w:rsidSect="00967411">
          <w:headerReference w:type="default" r:id="rId7"/>
          <w:footerReference w:type="default" r:id="rId8"/>
          <w:pgSz w:w="11906" w:h="16838"/>
          <w:pgMar w:top="1134" w:right="851" w:bottom="1134" w:left="1418" w:header="454" w:footer="454" w:gutter="0"/>
          <w:cols w:space="708"/>
          <w:docGrid w:linePitch="360"/>
        </w:sectPr>
      </w:pPr>
    </w:p>
    <w:p w:rsidR="002A3EC7" w:rsidRDefault="002A3EC7"/>
    <w:p w:rsidR="002A3EC7" w:rsidRDefault="002A3EC7">
      <w:pPr>
        <w:sectPr w:rsidR="002A3EC7">
          <w:headerReference w:type="default" r:id="rId9"/>
          <w:footerReference w:type="default" r:id="rId10"/>
          <w:pgSz w:w="11906" w:h="16838"/>
          <w:pgMar w:top="1417" w:right="1417" w:bottom="1417" w:left="1417" w:header="708" w:footer="708" w:gutter="0"/>
          <w:cols w:space="708"/>
          <w:docGrid w:linePitch="360"/>
        </w:sectPr>
      </w:pPr>
    </w:p>
    <w:p w:rsidR="00071060" w:rsidRDefault="002A3EC7" w:rsidP="002A3EC7">
      <w:pPr>
        <w:rPr>
          <w:rFonts w:ascii="Calibri" w:eastAsia="Times New Roman" w:hAnsi="Calibri" w:cs="Arial"/>
          <w:b/>
          <w:bCs/>
          <w:kern w:val="32"/>
          <w:sz w:val="50"/>
          <w:szCs w:val="32"/>
          <w:lang w:eastAsia="pl-PL"/>
        </w:rPr>
      </w:pPr>
      <w:r w:rsidRPr="005231AB">
        <w:rPr>
          <w:rFonts w:asciiTheme="majorHAnsi" w:eastAsia="Times New Roman" w:hAnsiTheme="majorHAnsi" w:cs="Times New Roman"/>
          <w:b/>
          <w:sz w:val="28"/>
          <w:szCs w:val="28"/>
          <w:lang w:eastAsia="pl-PL"/>
        </w:rPr>
        <w:lastRenderedPageBreak/>
        <w:t>1</w:t>
      </w:r>
      <w:r w:rsidR="005231AB">
        <w:rPr>
          <w:rFonts w:asciiTheme="majorHAnsi" w:eastAsia="Times New Roman" w:hAnsiTheme="majorHAnsi" w:cs="Times New Roman"/>
          <w:b/>
          <w:sz w:val="28"/>
          <w:szCs w:val="28"/>
          <w:lang w:eastAsia="pl-PL"/>
        </w:rPr>
        <w:t>.</w:t>
      </w:r>
      <w:r w:rsidR="004817BF" w:rsidRPr="005231AB">
        <w:rPr>
          <w:rFonts w:asciiTheme="majorHAnsi" w:eastAsia="Times New Roman" w:hAnsiTheme="majorHAnsi" w:cs="Times New Roman"/>
          <w:b/>
          <w:sz w:val="28"/>
          <w:szCs w:val="28"/>
          <w:lang w:eastAsia="pl-PL"/>
        </w:rPr>
        <w:t xml:space="preserve"> </w:t>
      </w:r>
      <w:r w:rsidR="00071060">
        <w:rPr>
          <w:rFonts w:asciiTheme="majorHAnsi" w:eastAsia="Times New Roman" w:hAnsiTheme="majorHAnsi" w:cs="Arial"/>
          <w:b/>
          <w:bCs/>
          <w:kern w:val="32"/>
          <w:sz w:val="28"/>
          <w:szCs w:val="28"/>
          <w:lang w:eastAsia="pl-PL"/>
        </w:rPr>
        <w:t xml:space="preserve">Analiza </w:t>
      </w:r>
      <w:r w:rsidR="00EF35BB">
        <w:rPr>
          <w:rFonts w:asciiTheme="majorHAnsi" w:eastAsia="Times New Roman" w:hAnsiTheme="majorHAnsi" w:cs="Arial"/>
          <w:b/>
          <w:bCs/>
          <w:kern w:val="32"/>
          <w:sz w:val="28"/>
          <w:szCs w:val="28"/>
          <w:lang w:eastAsia="pl-PL"/>
        </w:rPr>
        <w:t>wzorcowego dystrybutora</w:t>
      </w:r>
      <w:r>
        <w:rPr>
          <w:rFonts w:ascii="Calibri" w:eastAsia="Times New Roman" w:hAnsi="Calibri" w:cs="Arial"/>
          <w:b/>
          <w:bCs/>
          <w:kern w:val="32"/>
          <w:sz w:val="50"/>
          <w:szCs w:val="32"/>
          <w:lang w:eastAsia="pl-PL"/>
        </w:rPr>
        <w:t xml:space="preserve"> </w:t>
      </w:r>
    </w:p>
    <w:p w:rsidR="000B5A4F" w:rsidRPr="000B5A4F" w:rsidRDefault="000B5A4F" w:rsidP="002A3EC7">
      <w:pPr>
        <w:rPr>
          <w:rFonts w:ascii="Calibri" w:eastAsia="Times New Roman" w:hAnsi="Calibri" w:cs="Arial"/>
          <w:bCs/>
          <w:i/>
          <w:kern w:val="32"/>
          <w:sz w:val="28"/>
          <w:szCs w:val="28"/>
          <w:lang w:eastAsia="pl-PL"/>
        </w:rPr>
      </w:pPr>
    </w:p>
    <w:p w:rsidR="002A3EC7" w:rsidRDefault="000B5A4F" w:rsidP="000B5A4F">
      <w:pPr>
        <w:ind w:firstLine="708"/>
        <w:jc w:val="both"/>
        <w:rPr>
          <w:rFonts w:ascii="Calibri" w:eastAsia="Times New Roman" w:hAnsi="Calibri" w:cs="Times New Roman"/>
          <w:sz w:val="24"/>
          <w:szCs w:val="24"/>
          <w:lang w:eastAsia="pl-PL"/>
        </w:rPr>
      </w:pPr>
      <w:r>
        <w:rPr>
          <w:rFonts w:ascii="Calibri" w:eastAsia="Times New Roman" w:hAnsi="Calibri" w:cs="Times New Roman"/>
          <w:sz w:val="24"/>
          <w:szCs w:val="24"/>
          <w:lang w:eastAsia="pl-PL"/>
        </w:rPr>
        <w:t xml:space="preserve">Branża dystrybutorów i automatów sprzedających jest obecnie jedną z najbardziej dynamicznie rozwijających się gałęzi biznesu. Coraz częściej można się natknąć na nie w takich miejscach jak dworce, szpitale, czy szkoły. Maszyny tego rodzaju coraz częściej pozwalają na kupno niestandardowych produktów przyciągających uwagę klienta. Sytuacja taka wymaga od programistów i konstruktorów poszukiwania coraz to nowszych metod rozwiązywania problemów związanych z mechanizmami wykorzystywanymi w dystrybutorach, czy też z ich sterowaniem. </w:t>
      </w:r>
    </w:p>
    <w:p w:rsidR="000B5A4F" w:rsidRDefault="000B5A4F" w:rsidP="000B5A4F">
      <w:pPr>
        <w:ind w:firstLine="708"/>
        <w:jc w:val="both"/>
        <w:rPr>
          <w:rFonts w:ascii="Calibri" w:eastAsia="Times New Roman" w:hAnsi="Calibri" w:cs="Times New Roman"/>
          <w:sz w:val="24"/>
          <w:szCs w:val="24"/>
          <w:lang w:eastAsia="pl-PL"/>
        </w:rPr>
      </w:pPr>
    </w:p>
    <w:p w:rsidR="000B5A4F" w:rsidRDefault="000B5A4F" w:rsidP="000B5A4F">
      <w:pPr>
        <w:ind w:firstLine="708"/>
        <w:jc w:val="both"/>
        <w:rPr>
          <w:rFonts w:ascii="Calibri" w:eastAsia="Times New Roman" w:hAnsi="Calibri" w:cs="Times New Roman"/>
          <w:sz w:val="24"/>
          <w:szCs w:val="24"/>
          <w:lang w:eastAsia="pl-PL"/>
        </w:rPr>
      </w:pPr>
      <w:r>
        <w:rPr>
          <w:rFonts w:ascii="Calibri" w:eastAsia="Times New Roman" w:hAnsi="Calibri" w:cs="Times New Roman"/>
          <w:sz w:val="24"/>
          <w:szCs w:val="24"/>
          <w:lang w:eastAsia="pl-PL"/>
        </w:rPr>
        <w:t xml:space="preserve">Celem tego artykułu jest analiza obecnie istniejących maszyn wydających różnego rodzaju produkty. W kolejnej części przedstawiono konstrukcje i sposób sterowania własnoręcznie zbudowanym dystrybutorem napojów. </w:t>
      </w:r>
    </w:p>
    <w:p w:rsidR="000B5A4F" w:rsidRDefault="000B5A4F" w:rsidP="000B5A4F">
      <w:pPr>
        <w:jc w:val="both"/>
        <w:rPr>
          <w:rFonts w:ascii="Calibri" w:eastAsia="Times New Roman" w:hAnsi="Calibri" w:cs="Times New Roman"/>
          <w:sz w:val="24"/>
          <w:szCs w:val="24"/>
          <w:lang w:eastAsia="pl-PL"/>
        </w:rPr>
      </w:pPr>
    </w:p>
    <w:p w:rsidR="000B5A4F" w:rsidRDefault="000B5A4F" w:rsidP="000B5A4F">
      <w:pPr>
        <w:jc w:val="both"/>
        <w:rPr>
          <w:rFonts w:asciiTheme="minorHAnsi" w:eastAsia="Times New Roman" w:hAnsiTheme="minorHAnsi" w:cs="Arial"/>
          <w:b/>
          <w:bCs/>
          <w:iCs/>
          <w:sz w:val="24"/>
          <w:szCs w:val="28"/>
          <w:lang w:eastAsia="pl-PL"/>
        </w:rPr>
      </w:pPr>
      <w:r w:rsidRPr="00E00E2B">
        <w:rPr>
          <w:rFonts w:asciiTheme="minorHAnsi" w:eastAsia="Times New Roman" w:hAnsiTheme="minorHAnsi" w:cs="Arial"/>
          <w:b/>
          <w:bCs/>
          <w:iCs/>
          <w:sz w:val="24"/>
          <w:szCs w:val="28"/>
          <w:lang w:eastAsia="pl-PL"/>
        </w:rPr>
        <w:t xml:space="preserve">1.1 </w:t>
      </w:r>
      <w:r>
        <w:rPr>
          <w:rFonts w:asciiTheme="minorHAnsi" w:eastAsia="Times New Roman" w:hAnsiTheme="minorHAnsi" w:cs="Arial"/>
          <w:b/>
          <w:bCs/>
          <w:iCs/>
          <w:sz w:val="24"/>
          <w:szCs w:val="28"/>
          <w:lang w:eastAsia="pl-PL"/>
        </w:rPr>
        <w:t>Analiza konstrukcji automaty do kawy Gallery 310 marki Dougwe- Egberts</w:t>
      </w:r>
    </w:p>
    <w:p w:rsidR="000B5A4F" w:rsidRDefault="000B5A4F" w:rsidP="000B5A4F">
      <w:pPr>
        <w:jc w:val="both"/>
        <w:rPr>
          <w:rFonts w:asciiTheme="minorHAnsi" w:eastAsia="Times New Roman" w:hAnsiTheme="minorHAnsi" w:cs="Arial"/>
          <w:b/>
          <w:bCs/>
          <w:iCs/>
          <w:sz w:val="24"/>
          <w:szCs w:val="28"/>
          <w:lang w:eastAsia="pl-PL"/>
        </w:rPr>
      </w:pPr>
      <w:r w:rsidRPr="00E00E2B">
        <w:rPr>
          <w:rFonts w:asciiTheme="minorHAnsi" w:eastAsia="Times New Roman" w:hAnsiTheme="minorHAnsi" w:cs="Arial"/>
          <w:b/>
          <w:bCs/>
          <w:iCs/>
          <w:sz w:val="24"/>
          <w:szCs w:val="28"/>
          <w:lang w:eastAsia="pl-PL"/>
        </w:rPr>
        <w:t xml:space="preserve"> </w:t>
      </w:r>
    </w:p>
    <w:p w:rsidR="000B5A4F" w:rsidRDefault="000B5A4F" w:rsidP="000B5A4F">
      <w:pPr>
        <w:jc w:val="both"/>
        <w:rPr>
          <w:rFonts w:ascii="Calibri" w:eastAsia="Times New Roman" w:hAnsi="Calibri" w:cs="Times New Roman"/>
          <w:sz w:val="24"/>
          <w:szCs w:val="24"/>
          <w:lang w:eastAsia="pl-PL"/>
        </w:rPr>
      </w:pPr>
      <w:r>
        <w:rPr>
          <w:rFonts w:ascii="Calibri" w:eastAsia="Times New Roman" w:hAnsi="Calibri" w:cs="Times New Roman"/>
          <w:i/>
          <w:sz w:val="24"/>
          <w:szCs w:val="24"/>
          <w:lang w:eastAsia="pl-PL"/>
        </w:rPr>
        <w:tab/>
      </w:r>
      <w:r w:rsidR="00332587">
        <w:rPr>
          <w:rFonts w:ascii="Calibri" w:eastAsia="Times New Roman" w:hAnsi="Calibri" w:cs="Times New Roman"/>
          <w:sz w:val="24"/>
          <w:szCs w:val="24"/>
          <w:lang w:eastAsia="pl-PL"/>
        </w:rPr>
        <w:t>Zadaniem automatu jest wydawanie użytkownikowi określonego, wybranego przez niego rodzaju kawy. Czynność ta wykonywana jest po uiszczenia przez użytkownika z góry określonej opłaty. Jest to automat wyższej klasy – wyposażony jest m. in. w młynek do kawy, co pozwala na parzenie świerzego napoju. Urządzenie to ma zaledw</w:t>
      </w:r>
      <w:r w:rsidR="00EF35BB">
        <w:rPr>
          <w:rFonts w:ascii="Calibri" w:eastAsia="Times New Roman" w:hAnsi="Calibri" w:cs="Times New Roman"/>
          <w:sz w:val="24"/>
          <w:szCs w:val="24"/>
          <w:lang w:eastAsia="pl-PL"/>
        </w:rPr>
        <w:t xml:space="preserve">ie 230mm wysokości – oznacza to, że dla wygodnego stosowania musi on być postawiony na wybranym podwyższeniu (np. stoliku). </w:t>
      </w:r>
    </w:p>
    <w:p w:rsidR="00EF35BB" w:rsidRDefault="00EF35BB" w:rsidP="000B5A4F">
      <w:pPr>
        <w:jc w:val="both"/>
        <w:rPr>
          <w:rFonts w:ascii="Calibri" w:eastAsia="Times New Roman" w:hAnsi="Calibri" w:cs="Times New Roman"/>
          <w:sz w:val="24"/>
          <w:szCs w:val="24"/>
          <w:lang w:eastAsia="pl-PL"/>
        </w:rPr>
      </w:pPr>
    </w:p>
    <w:p w:rsidR="00EF35BB" w:rsidRPr="000B5A4F" w:rsidRDefault="00EF35BB" w:rsidP="00EF35BB">
      <w:pPr>
        <w:jc w:val="center"/>
        <w:rPr>
          <w:rFonts w:ascii="Calibri" w:eastAsia="Times New Roman" w:hAnsi="Calibri" w:cs="Times New Roman"/>
          <w:sz w:val="24"/>
          <w:szCs w:val="24"/>
          <w:lang w:eastAsia="pl-PL"/>
        </w:rPr>
      </w:pPr>
      <w:bookmarkStart w:id="0" w:name="_GoBack"/>
      <w:r>
        <w:rPr>
          <w:rFonts w:ascii="Calibri" w:eastAsia="Times New Roman" w:hAnsi="Calibri" w:cs="Times New Roman"/>
          <w:noProof/>
          <w:sz w:val="24"/>
          <w:szCs w:val="24"/>
          <w:lang w:eastAsia="pl-PL"/>
        </w:rPr>
        <w:drawing>
          <wp:inline distT="0" distB="0" distL="0" distR="0">
            <wp:extent cx="2244436" cy="253505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0693" cy="2542123"/>
                    </a:xfrm>
                    <a:prstGeom prst="rect">
                      <a:avLst/>
                    </a:prstGeom>
                    <a:noFill/>
                    <a:ln>
                      <a:noFill/>
                    </a:ln>
                  </pic:spPr>
                </pic:pic>
              </a:graphicData>
            </a:graphic>
          </wp:inline>
        </w:drawing>
      </w:r>
      <w:bookmarkEnd w:id="0"/>
    </w:p>
    <w:p w:rsidR="002A3EC7" w:rsidRPr="009A2257" w:rsidRDefault="002A3EC7" w:rsidP="002A3EC7">
      <w:pPr>
        <w:jc w:val="center"/>
        <w:rPr>
          <w:rFonts w:ascii="Calibri" w:eastAsia="Times New Roman" w:hAnsi="Calibri" w:cs="Times New Roman"/>
          <w:i/>
          <w:sz w:val="24"/>
          <w:szCs w:val="24"/>
          <w:lang w:eastAsia="pl-PL"/>
        </w:rPr>
      </w:pPr>
      <w:r w:rsidRPr="00151082">
        <w:rPr>
          <w:rFonts w:ascii="Calibri" w:eastAsia="Times New Roman" w:hAnsi="Calibri" w:cs="Times New Roman"/>
          <w:sz w:val="24"/>
          <w:szCs w:val="24"/>
          <w:lang w:eastAsia="pl-PL"/>
        </w:rPr>
        <w:t>Rys</w:t>
      </w:r>
      <w:r>
        <w:rPr>
          <w:rFonts w:ascii="Calibri" w:eastAsia="Times New Roman" w:hAnsi="Calibri" w:cs="Times New Roman"/>
          <w:sz w:val="24"/>
          <w:szCs w:val="24"/>
          <w:lang w:eastAsia="pl-PL"/>
        </w:rPr>
        <w:t>.</w:t>
      </w:r>
      <w:r w:rsidRPr="00151082">
        <w:rPr>
          <w:rFonts w:ascii="Calibri" w:eastAsia="Times New Roman" w:hAnsi="Calibri" w:cs="Times New Roman"/>
          <w:sz w:val="24"/>
          <w:szCs w:val="24"/>
          <w:lang w:eastAsia="pl-PL"/>
        </w:rPr>
        <w:t xml:space="preserve"> 1.</w:t>
      </w:r>
      <w:r w:rsidR="001F29E0">
        <w:rPr>
          <w:rFonts w:ascii="Calibri" w:eastAsia="Times New Roman" w:hAnsi="Calibri" w:cs="Times New Roman"/>
          <w:sz w:val="24"/>
          <w:szCs w:val="24"/>
          <w:lang w:eastAsia="pl-PL"/>
        </w:rPr>
        <w:t>1.</w:t>
      </w:r>
      <w:r w:rsidRPr="00151082">
        <w:rPr>
          <w:rFonts w:ascii="Calibri" w:eastAsia="Times New Roman" w:hAnsi="Calibri" w:cs="Times New Roman"/>
          <w:sz w:val="24"/>
          <w:szCs w:val="24"/>
          <w:lang w:eastAsia="pl-PL"/>
        </w:rPr>
        <w:t xml:space="preserve"> </w:t>
      </w:r>
      <w:r w:rsidR="00EF35BB">
        <w:rPr>
          <w:rFonts w:ascii="Calibri" w:eastAsia="Times New Roman" w:hAnsi="Calibri" w:cs="Times New Roman"/>
          <w:sz w:val="24"/>
          <w:szCs w:val="24"/>
          <w:lang w:eastAsia="pl-PL"/>
        </w:rPr>
        <w:t>Widok ogólny  dystrybutora Gallery 310[1</w:t>
      </w:r>
      <w:r>
        <w:rPr>
          <w:rFonts w:ascii="Calibri" w:eastAsia="Times New Roman" w:hAnsi="Calibri" w:cs="Times New Roman"/>
          <w:sz w:val="24"/>
          <w:szCs w:val="24"/>
          <w:lang w:eastAsia="pl-PL"/>
        </w:rPr>
        <w:t>]</w:t>
      </w:r>
      <w:r>
        <w:rPr>
          <w:rFonts w:ascii="Calibri" w:eastAsia="Times New Roman" w:hAnsi="Calibri" w:cs="Times New Roman"/>
          <w:sz w:val="24"/>
          <w:szCs w:val="24"/>
          <w:lang w:eastAsia="pl-PL"/>
        </w:rPr>
        <w:br/>
      </w:r>
    </w:p>
    <w:p w:rsidR="001423C8" w:rsidRDefault="00EF35BB" w:rsidP="00967411">
      <w:pPr>
        <w:jc w:val="both"/>
        <w:rPr>
          <w:rFonts w:ascii="Calibri" w:eastAsia="Times New Roman" w:hAnsi="Calibri" w:cs="Times New Roman"/>
          <w:sz w:val="24"/>
          <w:szCs w:val="24"/>
          <w:lang w:eastAsia="pl-PL"/>
        </w:rPr>
      </w:pPr>
      <w:r>
        <w:rPr>
          <w:rFonts w:ascii="Calibri" w:eastAsia="Times New Roman" w:hAnsi="Calibri" w:cs="Times New Roman"/>
          <w:sz w:val="24"/>
          <w:szCs w:val="24"/>
          <w:lang w:eastAsia="pl-PL"/>
        </w:rPr>
        <w:tab/>
        <w:t xml:space="preserve">Na rysunku powyżej przedstawiono wygląd zewnętrzny urządzenia. Kolejne numery odpowiadają odpowiednio: 1 – drzwiczki, 2- prezroczysta szyba, 3 – obudowa, 4- miejsce na opcjonalną reklamę, 5- panel operatorski, 6- zamek do drzwi, 7- oparcie dla kubków, 8- zbiornik na rozlany płyn. Pomimo małych rozmiarów i względnie prostej budowy, automat pozwala na sporządzenie nawet 8 rodzajów kawy, o różnej ilości zawartych w niej dodatków, takich jak zawartość mleka i cukru. </w:t>
      </w:r>
    </w:p>
    <w:p w:rsidR="00EF35BB" w:rsidRDefault="00EF35BB" w:rsidP="001423C8">
      <w:pPr>
        <w:ind w:firstLine="708"/>
        <w:jc w:val="both"/>
        <w:rPr>
          <w:rFonts w:ascii="Calibri" w:eastAsia="Times New Roman" w:hAnsi="Calibri" w:cs="Times New Roman"/>
          <w:sz w:val="24"/>
          <w:szCs w:val="24"/>
          <w:lang w:eastAsia="pl-PL"/>
        </w:rPr>
      </w:pPr>
      <w:r>
        <w:rPr>
          <w:rFonts w:ascii="Calibri" w:eastAsia="Times New Roman" w:hAnsi="Calibri" w:cs="Times New Roman"/>
          <w:sz w:val="24"/>
          <w:szCs w:val="24"/>
          <w:lang w:eastAsia="pl-PL"/>
        </w:rPr>
        <w:t xml:space="preserve">Wewnątrz automatu znajduje się także obrotowy magazyn kubków, na którym wzorowano się przy konstrukcji własnego dystrybutora. Magazyn posiada pojemność nawet do 25 kubków. Mechanizm opadania kubków wykorzystuje specjalnie wykonane krzywki, przypominające swoim kształtem ślimaka. Każdy pełen obrót krzywki powoduje opadnięcie jednego kubka. Liczba takich krzywek dla tego konkretnego dystrybutora wynosi 4, ale może ona być różna w zależności od wybranej konstrukcji. </w:t>
      </w:r>
    </w:p>
    <w:p w:rsidR="002A3EC7" w:rsidRDefault="00E00E2B" w:rsidP="002A3EC7">
      <w:pPr>
        <w:jc w:val="both"/>
        <w:rPr>
          <w:rFonts w:ascii="Calibri" w:eastAsia="Times New Roman" w:hAnsi="Calibri" w:cs="Times New Roman"/>
          <w:sz w:val="24"/>
          <w:szCs w:val="24"/>
          <w:lang w:eastAsia="pl-PL"/>
        </w:rPr>
      </w:pPr>
      <w:r>
        <w:rPr>
          <w:rFonts w:asciiTheme="majorHAnsi" w:eastAsia="Times New Roman" w:hAnsiTheme="majorHAnsi" w:cs="Times New Roman"/>
          <w:b/>
          <w:sz w:val="28"/>
          <w:szCs w:val="28"/>
          <w:lang w:eastAsia="pl-PL"/>
        </w:rPr>
        <w:lastRenderedPageBreak/>
        <w:t>2.</w:t>
      </w:r>
      <w:r w:rsidRPr="005231AB">
        <w:rPr>
          <w:rFonts w:asciiTheme="majorHAnsi" w:eastAsia="Times New Roman" w:hAnsiTheme="majorHAnsi" w:cs="Times New Roman"/>
          <w:b/>
          <w:sz w:val="28"/>
          <w:szCs w:val="28"/>
          <w:lang w:eastAsia="pl-PL"/>
        </w:rPr>
        <w:t xml:space="preserve"> </w:t>
      </w:r>
      <w:r w:rsidR="001423C8">
        <w:rPr>
          <w:rFonts w:asciiTheme="majorHAnsi" w:eastAsia="Times New Roman" w:hAnsiTheme="majorHAnsi" w:cs="Arial"/>
          <w:b/>
          <w:bCs/>
          <w:kern w:val="32"/>
          <w:sz w:val="28"/>
          <w:szCs w:val="28"/>
          <w:lang w:eastAsia="pl-PL"/>
        </w:rPr>
        <w:t>Projekt automatycznego dytrybuora napojów</w:t>
      </w:r>
    </w:p>
    <w:p w:rsidR="002A3EC7" w:rsidRDefault="002A3EC7" w:rsidP="002A3EC7">
      <w:pPr>
        <w:jc w:val="both"/>
        <w:rPr>
          <w:rFonts w:ascii="Calibri" w:eastAsia="Times New Roman" w:hAnsi="Calibri" w:cs="Times New Roman"/>
          <w:sz w:val="24"/>
          <w:szCs w:val="24"/>
          <w:lang w:eastAsia="pl-PL"/>
        </w:rPr>
      </w:pPr>
    </w:p>
    <w:p w:rsidR="002A3EC7" w:rsidRPr="00E00E2B" w:rsidRDefault="002A3EC7" w:rsidP="002A3EC7">
      <w:pPr>
        <w:rPr>
          <w:rFonts w:asciiTheme="minorHAnsi" w:eastAsia="Times New Roman" w:hAnsiTheme="minorHAnsi" w:cs="Arial"/>
          <w:b/>
          <w:bCs/>
          <w:iCs/>
          <w:sz w:val="24"/>
          <w:szCs w:val="28"/>
          <w:lang w:eastAsia="pl-PL"/>
        </w:rPr>
      </w:pPr>
      <w:r w:rsidRPr="00E00E2B">
        <w:rPr>
          <w:rFonts w:asciiTheme="minorHAnsi" w:eastAsia="Times New Roman" w:hAnsiTheme="minorHAnsi" w:cs="Arial"/>
          <w:b/>
          <w:bCs/>
          <w:iCs/>
          <w:sz w:val="24"/>
          <w:szCs w:val="28"/>
          <w:lang w:eastAsia="pl-PL"/>
        </w:rPr>
        <w:t xml:space="preserve">2.1 </w:t>
      </w:r>
      <w:r w:rsidR="001423C8">
        <w:rPr>
          <w:rFonts w:asciiTheme="minorHAnsi" w:eastAsia="Times New Roman" w:hAnsiTheme="minorHAnsi" w:cs="Arial"/>
          <w:b/>
          <w:bCs/>
          <w:iCs/>
          <w:sz w:val="24"/>
          <w:szCs w:val="28"/>
          <w:lang w:eastAsia="pl-PL"/>
        </w:rPr>
        <w:t>Koncepcje dystrybutorów</w:t>
      </w:r>
    </w:p>
    <w:p w:rsidR="002A3EC7" w:rsidRDefault="002A3EC7" w:rsidP="002A3EC7">
      <w:pPr>
        <w:tabs>
          <w:tab w:val="left" w:pos="3047"/>
        </w:tabs>
        <w:rPr>
          <w:rFonts w:ascii="Calibri" w:eastAsia="Times New Roman" w:hAnsi="Calibri" w:cs="Times New Roman"/>
          <w:sz w:val="24"/>
          <w:szCs w:val="24"/>
          <w:lang w:eastAsia="pl-PL"/>
        </w:rPr>
      </w:pPr>
    </w:p>
    <w:p w:rsidR="002A3EC7" w:rsidRPr="0049561C" w:rsidRDefault="002A3EC7" w:rsidP="002A3EC7">
      <w:pPr>
        <w:rPr>
          <w:rFonts w:asciiTheme="minorHAnsi" w:hAnsiTheme="minorHAnsi" w:cstheme="minorHAnsi"/>
          <w:b/>
          <w:sz w:val="29"/>
          <w:szCs w:val="29"/>
        </w:rPr>
      </w:pPr>
      <w:bookmarkStart w:id="1" w:name="_Toc317629570"/>
      <w:r w:rsidRPr="00B02A0A">
        <w:rPr>
          <w:rFonts w:asciiTheme="majorHAnsi" w:hAnsiTheme="majorHAnsi" w:cstheme="minorHAnsi"/>
          <w:b/>
          <w:sz w:val="28"/>
          <w:szCs w:val="29"/>
        </w:rPr>
        <w:t>Bibliografia</w:t>
      </w:r>
      <w:bookmarkEnd w:id="1"/>
      <w:r>
        <w:rPr>
          <w:rFonts w:asciiTheme="minorHAnsi" w:hAnsiTheme="minorHAnsi" w:cstheme="minorHAnsi"/>
          <w:b/>
          <w:sz w:val="29"/>
          <w:szCs w:val="29"/>
        </w:rPr>
        <w:t xml:space="preserve"> </w:t>
      </w:r>
      <w:r w:rsidRPr="007B6C0A">
        <w:rPr>
          <w:rFonts w:asciiTheme="minorHAnsi" w:eastAsia="Times New Roman" w:hAnsiTheme="minorHAnsi" w:cs="Arial"/>
          <w:bCs/>
          <w:i/>
          <w:iCs/>
          <w:sz w:val="29"/>
          <w:szCs w:val="28"/>
          <w:lang w:eastAsia="pl-PL"/>
        </w:rPr>
        <w:t>(</w:t>
      </w:r>
      <w:r w:rsidR="00B02A0A" w:rsidRPr="005231AB">
        <w:rPr>
          <w:rFonts w:ascii="Calibri" w:eastAsia="Times New Roman" w:hAnsi="Calibri" w:cs="Arial"/>
          <w:bCs/>
          <w:i/>
          <w:kern w:val="32"/>
          <w:sz w:val="28"/>
          <w:szCs w:val="28"/>
          <w:lang w:eastAsia="pl-PL"/>
        </w:rPr>
        <w:t>Cambria, rozmiar. 14, pogrubienie</w:t>
      </w:r>
      <w:r w:rsidRPr="007B6C0A">
        <w:rPr>
          <w:rFonts w:asciiTheme="minorHAnsi" w:eastAsia="Times New Roman" w:hAnsiTheme="minorHAnsi" w:cs="Arial"/>
          <w:bCs/>
          <w:i/>
          <w:iCs/>
          <w:sz w:val="29"/>
          <w:szCs w:val="28"/>
          <w:lang w:eastAsia="pl-PL"/>
        </w:rPr>
        <w:t>)</w:t>
      </w:r>
    </w:p>
    <w:p w:rsidR="002A3EC7" w:rsidRDefault="002A3EC7" w:rsidP="002A3EC7">
      <w:pPr>
        <w:rPr>
          <w:rFonts w:asciiTheme="minorHAnsi" w:hAnsiTheme="minorHAnsi" w:cstheme="minorHAnsi"/>
          <w:sz w:val="24"/>
          <w:szCs w:val="24"/>
        </w:rPr>
      </w:pPr>
      <w:r w:rsidRPr="0049561C">
        <w:rPr>
          <w:rFonts w:asciiTheme="minorHAnsi" w:hAnsiTheme="minorHAnsi" w:cstheme="minorHAnsi"/>
          <w:sz w:val="24"/>
          <w:szCs w:val="24"/>
        </w:rPr>
        <w:t xml:space="preserve">[1] </w:t>
      </w:r>
      <w:r>
        <w:rPr>
          <w:rFonts w:asciiTheme="minorHAnsi" w:hAnsiTheme="minorHAnsi" w:cstheme="minorHAnsi"/>
          <w:sz w:val="24"/>
          <w:szCs w:val="24"/>
        </w:rPr>
        <w:t>Czcionka Calibri, rozmiar 12.</w:t>
      </w:r>
    </w:p>
    <w:p w:rsidR="002A3EC7" w:rsidRPr="0049561C" w:rsidRDefault="002A3EC7" w:rsidP="002A3EC7">
      <w:pPr>
        <w:rPr>
          <w:rFonts w:asciiTheme="minorHAnsi" w:hAnsiTheme="minorHAnsi" w:cstheme="minorHAnsi"/>
          <w:sz w:val="24"/>
          <w:szCs w:val="24"/>
        </w:rPr>
      </w:pPr>
      <w:r w:rsidRPr="0049561C">
        <w:rPr>
          <w:rFonts w:asciiTheme="minorHAnsi" w:hAnsiTheme="minorHAnsi" w:cstheme="minorHAnsi"/>
          <w:sz w:val="24"/>
          <w:szCs w:val="24"/>
        </w:rPr>
        <w:t>[2] Mazur M. Podstawy spawalnictwa. Wydawnictwo Politechniki Śląskiej, Gliwice, 1993.</w:t>
      </w:r>
    </w:p>
    <w:p w:rsidR="002A3EC7" w:rsidRPr="0049561C" w:rsidRDefault="002A3EC7" w:rsidP="002A3EC7">
      <w:pPr>
        <w:rPr>
          <w:rFonts w:asciiTheme="minorHAnsi" w:hAnsiTheme="minorHAnsi" w:cstheme="minorHAnsi"/>
          <w:sz w:val="24"/>
          <w:szCs w:val="24"/>
        </w:rPr>
      </w:pPr>
      <w:r w:rsidRPr="0049561C">
        <w:rPr>
          <w:rFonts w:asciiTheme="minorHAnsi" w:hAnsiTheme="minorHAnsi" w:cstheme="minorHAnsi"/>
          <w:sz w:val="24"/>
          <w:szCs w:val="24"/>
        </w:rPr>
        <w:t>[3] Tasak E. Metalurgia spawania. Wydawnictwo JAK, Kraków 2008.</w:t>
      </w:r>
    </w:p>
    <w:p w:rsidR="002A3EC7" w:rsidRPr="0049561C" w:rsidRDefault="002A3EC7" w:rsidP="002A3EC7">
      <w:pPr>
        <w:tabs>
          <w:tab w:val="left" w:pos="3047"/>
        </w:tabs>
        <w:rPr>
          <w:rFonts w:asciiTheme="minorHAnsi" w:eastAsia="Times New Roman" w:hAnsiTheme="minorHAnsi" w:cstheme="minorHAnsi"/>
          <w:sz w:val="24"/>
          <w:szCs w:val="24"/>
          <w:lang w:eastAsia="pl-PL"/>
        </w:rPr>
      </w:pPr>
    </w:p>
    <w:p w:rsidR="002A3EC7" w:rsidRDefault="002A3EC7" w:rsidP="002A3EC7">
      <w:pPr>
        <w:rPr>
          <w:rFonts w:asciiTheme="minorHAnsi" w:hAnsiTheme="minorHAnsi" w:cstheme="minorHAnsi"/>
          <w:b/>
          <w:sz w:val="29"/>
          <w:szCs w:val="29"/>
        </w:rPr>
      </w:pPr>
    </w:p>
    <w:p w:rsidR="002A3EC7" w:rsidRDefault="002A3EC7" w:rsidP="002A3EC7">
      <w:pPr>
        <w:rPr>
          <w:rFonts w:asciiTheme="minorHAnsi" w:hAnsiTheme="minorHAnsi" w:cstheme="minorHAnsi"/>
          <w:sz w:val="24"/>
          <w:szCs w:val="24"/>
        </w:rPr>
      </w:pPr>
    </w:p>
    <w:p w:rsidR="002A3EC7" w:rsidRDefault="002A3EC7" w:rsidP="002A3EC7">
      <w:pPr>
        <w:rPr>
          <w:rFonts w:asciiTheme="minorHAnsi" w:hAnsiTheme="minorHAnsi" w:cstheme="minorHAnsi"/>
          <w:sz w:val="24"/>
          <w:szCs w:val="24"/>
        </w:rPr>
      </w:pPr>
    </w:p>
    <w:p w:rsidR="002A3EC7" w:rsidRDefault="002A3EC7" w:rsidP="002A3EC7">
      <w:pPr>
        <w:rPr>
          <w:rFonts w:asciiTheme="minorHAnsi" w:hAnsiTheme="minorHAnsi" w:cstheme="minorHAnsi"/>
          <w:sz w:val="24"/>
          <w:szCs w:val="24"/>
        </w:rPr>
      </w:pPr>
    </w:p>
    <w:p w:rsidR="002A3EC7" w:rsidRDefault="002A3EC7" w:rsidP="002A3EC7">
      <w:pPr>
        <w:rPr>
          <w:rFonts w:cs="Arial"/>
          <w:sz w:val="32"/>
          <w:szCs w:val="32"/>
        </w:rPr>
      </w:pPr>
    </w:p>
    <w:p w:rsidR="002A3EC7" w:rsidRDefault="002A3EC7" w:rsidP="002A3EC7">
      <w:pPr>
        <w:rPr>
          <w:rFonts w:cs="Arial"/>
          <w:sz w:val="32"/>
          <w:szCs w:val="32"/>
        </w:rPr>
      </w:pPr>
    </w:p>
    <w:p w:rsidR="002A3EC7" w:rsidRDefault="002A3EC7" w:rsidP="002A3EC7">
      <w:pPr>
        <w:jc w:val="center"/>
        <w:rPr>
          <w:rFonts w:cs="Arial"/>
          <w:sz w:val="32"/>
          <w:szCs w:val="32"/>
        </w:rPr>
      </w:pPr>
    </w:p>
    <w:p w:rsidR="002A3EC7" w:rsidRDefault="002A3EC7" w:rsidP="002A3EC7">
      <w:pPr>
        <w:jc w:val="center"/>
        <w:rPr>
          <w:sz w:val="32"/>
          <w:szCs w:val="32"/>
        </w:rPr>
      </w:pPr>
      <w:r w:rsidRPr="006C674D">
        <w:rPr>
          <w:rFonts w:cs="Arial"/>
          <w:sz w:val="32"/>
          <w:szCs w:val="32"/>
        </w:rPr>
        <w:t xml:space="preserve">FORMATKA DO POBRANIA NA STRONIE </w:t>
      </w:r>
      <w:r>
        <w:rPr>
          <w:rFonts w:cs="Arial"/>
          <w:sz w:val="32"/>
          <w:szCs w:val="32"/>
        </w:rPr>
        <w:t>INTERNETOWEJ</w:t>
      </w:r>
      <w:r>
        <w:rPr>
          <w:rFonts w:cs="Arial"/>
          <w:sz w:val="32"/>
          <w:szCs w:val="32"/>
        </w:rPr>
        <w:tab/>
      </w:r>
      <w:r w:rsidRPr="00FD574C">
        <w:rPr>
          <w:sz w:val="32"/>
          <w:szCs w:val="32"/>
        </w:rPr>
        <w:t>http://www.kolonaukoweswc.pl/</w:t>
      </w:r>
    </w:p>
    <w:p w:rsidR="002A3EC7" w:rsidRDefault="002A3EC7" w:rsidP="002A3EC7"/>
    <w:p w:rsidR="002A3EC7" w:rsidRDefault="002A3EC7" w:rsidP="002A3EC7"/>
    <w:p w:rsidR="002A3EC7" w:rsidRDefault="002A3EC7" w:rsidP="002A3EC7"/>
    <w:p w:rsidR="002A3EC7" w:rsidRDefault="002A3EC7" w:rsidP="002A3EC7"/>
    <w:p w:rsidR="002A3EC7" w:rsidRDefault="002A3EC7" w:rsidP="002A3EC7"/>
    <w:p w:rsidR="002A3EC7" w:rsidRDefault="002A3EC7" w:rsidP="002A3EC7"/>
    <w:p w:rsidR="002A3EC7" w:rsidRDefault="002A3EC7" w:rsidP="002A3EC7"/>
    <w:p w:rsidR="002A3EC7" w:rsidRDefault="002A3EC7" w:rsidP="002A3EC7"/>
    <w:p w:rsidR="002A3EC7" w:rsidRDefault="002A3EC7" w:rsidP="002A3EC7"/>
    <w:p w:rsidR="002A3EC7" w:rsidRDefault="002A3EC7" w:rsidP="002A3EC7"/>
    <w:p w:rsidR="002A3EC7" w:rsidRDefault="002A3EC7" w:rsidP="002A3EC7"/>
    <w:tbl>
      <w:tblPr>
        <w:tblStyle w:val="TableGrid"/>
        <w:tblW w:w="0" w:type="auto"/>
        <w:jc w:val="center"/>
        <w:tblLayout w:type="fixed"/>
        <w:tblLook w:val="04A0" w:firstRow="1" w:lastRow="0" w:firstColumn="1" w:lastColumn="0" w:noHBand="0" w:noVBand="1"/>
      </w:tblPr>
      <w:tblGrid>
        <w:gridCol w:w="9072"/>
      </w:tblGrid>
      <w:tr w:rsidR="002A3EC7" w:rsidTr="002C679D">
        <w:trPr>
          <w:trHeight w:val="6804"/>
          <w:jc w:val="center"/>
        </w:trPr>
        <w:tc>
          <w:tcPr>
            <w:tcW w:w="9072" w:type="dxa"/>
            <w:tcBorders>
              <w:bottom w:val="single" w:sz="4" w:space="0" w:color="auto"/>
            </w:tcBorders>
            <w:vAlign w:val="center"/>
          </w:tcPr>
          <w:p w:rsidR="002A3EC7" w:rsidRDefault="002A3EC7" w:rsidP="001474A2">
            <w:pPr>
              <w:jc w:val="center"/>
              <w:rPr>
                <w:rFonts w:cs="Arial"/>
                <w:sz w:val="32"/>
                <w:szCs w:val="32"/>
              </w:rPr>
            </w:pPr>
            <w:r w:rsidRPr="007D7AD3">
              <w:rPr>
                <w:rFonts w:cs="Arial"/>
                <w:noProof/>
                <w:sz w:val="32"/>
                <w:szCs w:val="32"/>
                <w:lang w:eastAsia="pl-PL"/>
              </w:rPr>
              <w:lastRenderedPageBreak/>
              <w:drawing>
                <wp:inline distT="0" distB="0" distL="0" distR="0" wp14:anchorId="7869D0EC" wp14:editId="0E80E33A">
                  <wp:extent cx="4572638" cy="3429479"/>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638" cy="3429479"/>
                          </a:xfrm>
                          <a:prstGeom prst="rect">
                            <a:avLst/>
                          </a:prstGeom>
                        </pic:spPr>
                      </pic:pic>
                    </a:graphicData>
                  </a:graphic>
                </wp:inline>
              </w:drawing>
            </w:r>
          </w:p>
        </w:tc>
      </w:tr>
      <w:tr w:rsidR="002A3EC7" w:rsidTr="002C679D">
        <w:trPr>
          <w:trHeight w:val="6804"/>
          <w:jc w:val="center"/>
        </w:trPr>
        <w:tc>
          <w:tcPr>
            <w:tcW w:w="9072" w:type="dxa"/>
            <w:tcBorders>
              <w:top w:val="single" w:sz="4" w:space="0" w:color="auto"/>
              <w:left w:val="nil"/>
              <w:bottom w:val="nil"/>
              <w:right w:val="nil"/>
            </w:tcBorders>
            <w:vAlign w:val="center"/>
          </w:tcPr>
          <w:p w:rsidR="002A3EC7" w:rsidRDefault="002A3EC7" w:rsidP="001474A2">
            <w:pPr>
              <w:jc w:val="center"/>
              <w:rPr>
                <w:rFonts w:cs="Arial"/>
                <w:sz w:val="32"/>
                <w:szCs w:val="32"/>
              </w:rPr>
            </w:pPr>
            <w:r w:rsidRPr="00333889">
              <w:rPr>
                <w:rFonts w:cs="Arial"/>
                <w:noProof/>
                <w:sz w:val="32"/>
                <w:szCs w:val="32"/>
                <w:lang w:eastAsia="pl-PL"/>
              </w:rPr>
              <w:drawing>
                <wp:inline distT="0" distB="0" distL="0" distR="0" wp14:anchorId="5DC4944B" wp14:editId="5979DD5D">
                  <wp:extent cx="4572638" cy="3429479"/>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638" cy="3429479"/>
                          </a:xfrm>
                          <a:prstGeom prst="rect">
                            <a:avLst/>
                          </a:prstGeom>
                        </pic:spPr>
                      </pic:pic>
                    </a:graphicData>
                  </a:graphic>
                </wp:inline>
              </w:drawing>
            </w:r>
          </w:p>
        </w:tc>
      </w:tr>
    </w:tbl>
    <w:p w:rsidR="002A3EC7" w:rsidRDefault="002A3EC7" w:rsidP="002A3EC7"/>
    <w:sectPr w:rsidR="002A3EC7" w:rsidSect="00C04506">
      <w:headerReference w:type="default" r:id="rId14"/>
      <w:footerReference w:type="default" r:id="rId15"/>
      <w:pgSz w:w="11906" w:h="16838"/>
      <w:pgMar w:top="1134" w:right="851" w:bottom="1134" w:left="1418" w:header="454" w:footer="22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E09" w:rsidRDefault="00962E09" w:rsidP="002A3EC7">
      <w:r>
        <w:separator/>
      </w:r>
    </w:p>
  </w:endnote>
  <w:endnote w:type="continuationSeparator" w:id="0">
    <w:p w:rsidR="00962E09" w:rsidRDefault="00962E09" w:rsidP="002A3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EC7" w:rsidRPr="005231AB" w:rsidRDefault="00201BE4" w:rsidP="002A3EC7">
    <w:pPr>
      <w:pStyle w:val="Footer"/>
      <w:jc w:val="center"/>
      <w:rPr>
        <w:rFonts w:cs="Arial"/>
        <w:sz w:val="24"/>
      </w:rPr>
    </w:pPr>
    <w:r>
      <w:rPr>
        <w:rFonts w:cs="Arial"/>
        <w:sz w:val="24"/>
      </w:rPr>
      <w:t>Istebna</w:t>
    </w:r>
    <w:r w:rsidR="00E80759">
      <w:rPr>
        <w:rFonts w:cs="Arial"/>
        <w:sz w:val="24"/>
      </w:rPr>
      <w:t xml:space="preserve"> 16 - 17 czerwca 2015 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EC7" w:rsidRDefault="002A3E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9777"/>
    </w:tblGrid>
    <w:tr w:rsidR="002A3EC7" w:rsidRPr="005231AB" w:rsidTr="002A3EC7">
      <w:tc>
        <w:tcPr>
          <w:tcW w:w="9777" w:type="dxa"/>
        </w:tcPr>
        <w:p w:rsidR="002A3EC7" w:rsidRPr="005231AB" w:rsidRDefault="001423C8" w:rsidP="002A3EC7">
          <w:pPr>
            <w:pStyle w:val="Footer"/>
            <w:jc w:val="center"/>
            <w:rPr>
              <w:rFonts w:cs="Arial"/>
              <w:b/>
              <w:sz w:val="20"/>
              <w:szCs w:val="20"/>
            </w:rPr>
          </w:pPr>
          <w:r>
            <w:rPr>
              <w:rFonts w:cs="Arial"/>
              <w:b/>
              <w:sz w:val="20"/>
              <w:szCs w:val="20"/>
            </w:rPr>
            <w:t>Konstrukcja i sterowanie automatycznego dystrybutora napojów</w:t>
          </w:r>
        </w:p>
        <w:p w:rsidR="002A3EC7" w:rsidRPr="005231AB" w:rsidRDefault="002A3EC7" w:rsidP="002A3EC7">
          <w:pPr>
            <w:pStyle w:val="Footer"/>
            <w:jc w:val="center"/>
            <w:rPr>
              <w:rFonts w:cs="Arial"/>
              <w:b/>
              <w:sz w:val="20"/>
              <w:szCs w:val="20"/>
            </w:rPr>
          </w:pPr>
          <w:r w:rsidRPr="005231AB">
            <w:rPr>
              <w:rFonts w:cs="Arial"/>
              <w:b/>
              <w:sz w:val="20"/>
              <w:szCs w:val="20"/>
            </w:rPr>
            <w:t xml:space="preserve">Opracował: </w:t>
          </w:r>
          <w:r w:rsidR="001423C8">
            <w:rPr>
              <w:rFonts w:cs="Arial"/>
              <w:b/>
              <w:sz w:val="20"/>
              <w:szCs w:val="20"/>
            </w:rPr>
            <w:t>inż. Bartosz Bączek – Politechnika Śląska, Gliwice</w:t>
          </w:r>
        </w:p>
        <w:p w:rsidR="002A3EC7" w:rsidRPr="005231AB" w:rsidRDefault="002A3EC7" w:rsidP="002A3EC7">
          <w:pPr>
            <w:pStyle w:val="Footer"/>
            <w:jc w:val="center"/>
            <w:rPr>
              <w:rFonts w:cs="Arial"/>
            </w:rPr>
          </w:pPr>
          <w:r w:rsidRPr="005231AB">
            <w:rPr>
              <w:rFonts w:cs="Arial"/>
              <w:b/>
              <w:sz w:val="20"/>
              <w:szCs w:val="20"/>
            </w:rPr>
            <w:fldChar w:fldCharType="begin"/>
          </w:r>
          <w:r w:rsidRPr="005231AB">
            <w:rPr>
              <w:rFonts w:cs="Arial"/>
              <w:b/>
              <w:sz w:val="20"/>
              <w:szCs w:val="20"/>
            </w:rPr>
            <w:instrText>PAGE   \* MERGEFORMAT</w:instrText>
          </w:r>
          <w:r w:rsidRPr="005231AB">
            <w:rPr>
              <w:rFonts w:cs="Arial"/>
              <w:b/>
              <w:sz w:val="20"/>
              <w:szCs w:val="20"/>
            </w:rPr>
            <w:fldChar w:fldCharType="separate"/>
          </w:r>
          <w:r w:rsidR="001423C8">
            <w:rPr>
              <w:rFonts w:cs="Arial"/>
              <w:b/>
              <w:noProof/>
              <w:sz w:val="20"/>
              <w:szCs w:val="20"/>
            </w:rPr>
            <w:t>1</w:t>
          </w:r>
          <w:r w:rsidRPr="005231AB">
            <w:rPr>
              <w:rFonts w:cs="Arial"/>
              <w:b/>
              <w:sz w:val="20"/>
              <w:szCs w:val="20"/>
            </w:rPr>
            <w:fldChar w:fldCharType="end"/>
          </w:r>
        </w:p>
      </w:tc>
    </w:tr>
  </w:tbl>
  <w:p w:rsidR="002A3EC7" w:rsidRDefault="002A3EC7" w:rsidP="004817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E09" w:rsidRDefault="00962E09" w:rsidP="002A3EC7">
      <w:r>
        <w:separator/>
      </w:r>
    </w:p>
  </w:footnote>
  <w:footnote w:type="continuationSeparator" w:id="0">
    <w:p w:rsidR="00962E09" w:rsidRDefault="00962E09" w:rsidP="002A3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9777"/>
    </w:tblGrid>
    <w:tr w:rsidR="002A3EC7" w:rsidRPr="00C04506" w:rsidTr="001474A2">
      <w:tc>
        <w:tcPr>
          <w:tcW w:w="9777" w:type="dxa"/>
          <w:tcBorders>
            <w:top w:val="nil"/>
            <w:left w:val="nil"/>
            <w:bottom w:val="single" w:sz="4" w:space="0" w:color="auto"/>
            <w:right w:val="nil"/>
          </w:tcBorders>
        </w:tcPr>
        <w:p w:rsidR="002A3EC7" w:rsidRPr="005231AB" w:rsidRDefault="00EB3CD1" w:rsidP="001474A2">
          <w:pPr>
            <w:pStyle w:val="Header"/>
            <w:jc w:val="center"/>
            <w:rPr>
              <w:rFonts w:cs="Arial"/>
              <w:b/>
              <w:sz w:val="20"/>
              <w:szCs w:val="20"/>
            </w:rPr>
          </w:pPr>
          <w:r>
            <w:rPr>
              <w:rFonts w:cs="Arial"/>
              <w:b/>
              <w:sz w:val="20"/>
              <w:szCs w:val="20"/>
            </w:rPr>
            <w:t xml:space="preserve">IV </w:t>
          </w:r>
          <w:r w:rsidR="002A3EC7" w:rsidRPr="005231AB">
            <w:rPr>
              <w:rFonts w:cs="Arial"/>
              <w:b/>
              <w:sz w:val="20"/>
              <w:szCs w:val="20"/>
            </w:rPr>
            <w:t>SYMPOZJUM KATEDR I ZAKŁADÓW SPAWALNICTWA</w:t>
          </w:r>
        </w:p>
        <w:p w:rsidR="002A3EC7" w:rsidRPr="00C04506" w:rsidRDefault="002A3EC7" w:rsidP="001474A2">
          <w:pPr>
            <w:pStyle w:val="Header"/>
            <w:jc w:val="center"/>
            <w:rPr>
              <w:rFonts w:ascii="Times New Roman" w:hAnsi="Times New Roman" w:cs="Times New Roman"/>
            </w:rPr>
          </w:pPr>
          <w:r w:rsidRPr="005231AB">
            <w:rPr>
              <w:rFonts w:cs="Arial"/>
              <w:b/>
              <w:sz w:val="20"/>
              <w:szCs w:val="20"/>
            </w:rPr>
            <w:t>pt. Nowoczesne zastosowania technologii spawalniczych</w:t>
          </w:r>
        </w:p>
      </w:tc>
    </w:tr>
  </w:tbl>
  <w:p w:rsidR="002A3EC7" w:rsidRDefault="002A3E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EC7" w:rsidRDefault="002A3E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9777"/>
    </w:tblGrid>
    <w:tr w:rsidR="002A3EC7" w:rsidRPr="005231AB" w:rsidTr="002A3EC7">
      <w:tc>
        <w:tcPr>
          <w:tcW w:w="9777" w:type="dxa"/>
          <w:tcBorders>
            <w:top w:val="nil"/>
            <w:left w:val="nil"/>
            <w:bottom w:val="single" w:sz="4" w:space="0" w:color="auto"/>
            <w:right w:val="nil"/>
          </w:tcBorders>
        </w:tcPr>
        <w:p w:rsidR="002A3EC7" w:rsidRPr="005231AB" w:rsidRDefault="002A3EC7" w:rsidP="002A3EC7">
          <w:pPr>
            <w:pStyle w:val="Header"/>
            <w:jc w:val="center"/>
            <w:rPr>
              <w:rFonts w:cs="Arial"/>
              <w:b/>
              <w:sz w:val="20"/>
              <w:szCs w:val="20"/>
            </w:rPr>
          </w:pPr>
          <w:r w:rsidRPr="005231AB">
            <w:rPr>
              <w:rFonts w:cs="Arial"/>
              <w:b/>
              <w:sz w:val="20"/>
              <w:szCs w:val="20"/>
            </w:rPr>
            <w:t>SYMPOZJUM KATEDR I ZAKŁADÓW SPAWALNICTWA</w:t>
          </w:r>
        </w:p>
        <w:p w:rsidR="002A3EC7" w:rsidRPr="005231AB" w:rsidRDefault="002A3EC7" w:rsidP="002A3EC7">
          <w:pPr>
            <w:pStyle w:val="Header"/>
            <w:jc w:val="center"/>
            <w:rPr>
              <w:rFonts w:cs="Arial"/>
            </w:rPr>
          </w:pPr>
          <w:r w:rsidRPr="005231AB">
            <w:rPr>
              <w:rFonts w:cs="Arial"/>
              <w:b/>
              <w:sz w:val="20"/>
              <w:szCs w:val="20"/>
            </w:rPr>
            <w:t>pt. Nowoczesne zastosowania technologii spawalniczych</w:t>
          </w:r>
        </w:p>
      </w:tc>
    </w:tr>
  </w:tbl>
  <w:p w:rsidR="002A3EC7" w:rsidRDefault="002A3E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EC7"/>
    <w:rsid w:val="00071060"/>
    <w:rsid w:val="000B5A4F"/>
    <w:rsid w:val="00113F94"/>
    <w:rsid w:val="001423C8"/>
    <w:rsid w:val="001658ED"/>
    <w:rsid w:val="001F29E0"/>
    <w:rsid w:val="00201BE4"/>
    <w:rsid w:val="002A3EC7"/>
    <w:rsid w:val="002C679D"/>
    <w:rsid w:val="00321C91"/>
    <w:rsid w:val="00332587"/>
    <w:rsid w:val="004817BF"/>
    <w:rsid w:val="005231AB"/>
    <w:rsid w:val="00547D35"/>
    <w:rsid w:val="005701A5"/>
    <w:rsid w:val="006304D5"/>
    <w:rsid w:val="00700746"/>
    <w:rsid w:val="007B3D88"/>
    <w:rsid w:val="00916AAD"/>
    <w:rsid w:val="00962E09"/>
    <w:rsid w:val="00967411"/>
    <w:rsid w:val="00B02A0A"/>
    <w:rsid w:val="00BD6338"/>
    <w:rsid w:val="00C04506"/>
    <w:rsid w:val="00D1126C"/>
    <w:rsid w:val="00DD756A"/>
    <w:rsid w:val="00E00E2B"/>
    <w:rsid w:val="00E80759"/>
    <w:rsid w:val="00EB3CD1"/>
    <w:rsid w:val="00EF35BB"/>
    <w:rsid w:val="00F12B64"/>
    <w:rsid w:val="00F331FB"/>
    <w:rsid w:val="00F91397"/>
    <w:rsid w:val="00FC1F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EC7"/>
    <w:pPr>
      <w:spacing w:after="0" w:line="240" w:lineRule="auto"/>
    </w:pPr>
    <w:rPr>
      <w:rFonts w:ascii="Arial" w:hAnsi="Arial"/>
    </w:rPr>
  </w:style>
  <w:style w:type="paragraph" w:styleId="Heading5">
    <w:name w:val="heading 5"/>
    <w:basedOn w:val="Normal"/>
    <w:next w:val="Normal"/>
    <w:link w:val="Heading5Char"/>
    <w:uiPriority w:val="9"/>
    <w:semiHidden/>
    <w:unhideWhenUsed/>
    <w:qFormat/>
    <w:rsid w:val="002A3EC7"/>
    <w:pPr>
      <w:spacing w:before="200"/>
      <w:outlineLvl w:val="4"/>
    </w:pPr>
    <w:rPr>
      <w:rFonts w:asciiTheme="majorHAnsi" w:eastAsiaTheme="majorEastAsia" w:hAnsiTheme="majorHAnsi" w:cstheme="majorBidi"/>
      <w:b/>
      <w:b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ll">
    <w:name w:val="null"/>
    <w:basedOn w:val="DefaultParagraphFont"/>
    <w:rsid w:val="002A3EC7"/>
  </w:style>
  <w:style w:type="paragraph" w:styleId="BalloonText">
    <w:name w:val="Balloon Text"/>
    <w:basedOn w:val="Normal"/>
    <w:link w:val="BalloonTextChar"/>
    <w:uiPriority w:val="99"/>
    <w:semiHidden/>
    <w:unhideWhenUsed/>
    <w:rsid w:val="002A3EC7"/>
    <w:rPr>
      <w:rFonts w:ascii="Tahoma" w:hAnsi="Tahoma" w:cs="Tahoma"/>
      <w:sz w:val="16"/>
      <w:szCs w:val="16"/>
    </w:rPr>
  </w:style>
  <w:style w:type="character" w:customStyle="1" w:styleId="BalloonTextChar">
    <w:name w:val="Balloon Text Char"/>
    <w:basedOn w:val="DefaultParagraphFont"/>
    <w:link w:val="BalloonText"/>
    <w:uiPriority w:val="99"/>
    <w:semiHidden/>
    <w:rsid w:val="002A3EC7"/>
    <w:rPr>
      <w:rFonts w:ascii="Tahoma" w:hAnsi="Tahoma" w:cs="Tahoma"/>
      <w:sz w:val="16"/>
      <w:szCs w:val="16"/>
    </w:rPr>
  </w:style>
  <w:style w:type="table" w:styleId="TableGrid">
    <w:name w:val="Table Grid"/>
    <w:basedOn w:val="TableNormal"/>
    <w:uiPriority w:val="59"/>
    <w:rsid w:val="002A3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A3EC7"/>
    <w:pPr>
      <w:tabs>
        <w:tab w:val="center" w:pos="4536"/>
        <w:tab w:val="right" w:pos="9072"/>
      </w:tabs>
    </w:pPr>
  </w:style>
  <w:style w:type="character" w:customStyle="1" w:styleId="HeaderChar">
    <w:name w:val="Header Char"/>
    <w:basedOn w:val="DefaultParagraphFont"/>
    <w:link w:val="Header"/>
    <w:uiPriority w:val="99"/>
    <w:rsid w:val="002A3EC7"/>
    <w:rPr>
      <w:rFonts w:ascii="Arial" w:hAnsi="Arial"/>
    </w:rPr>
  </w:style>
  <w:style w:type="paragraph" w:styleId="Footer">
    <w:name w:val="footer"/>
    <w:basedOn w:val="Normal"/>
    <w:link w:val="FooterChar"/>
    <w:uiPriority w:val="99"/>
    <w:unhideWhenUsed/>
    <w:rsid w:val="002A3EC7"/>
    <w:pPr>
      <w:tabs>
        <w:tab w:val="center" w:pos="4536"/>
        <w:tab w:val="right" w:pos="9072"/>
      </w:tabs>
    </w:pPr>
  </w:style>
  <w:style w:type="character" w:customStyle="1" w:styleId="FooterChar">
    <w:name w:val="Footer Char"/>
    <w:basedOn w:val="DefaultParagraphFont"/>
    <w:link w:val="Footer"/>
    <w:uiPriority w:val="99"/>
    <w:rsid w:val="002A3EC7"/>
    <w:rPr>
      <w:rFonts w:ascii="Arial" w:hAnsi="Arial"/>
    </w:rPr>
  </w:style>
  <w:style w:type="character" w:customStyle="1" w:styleId="Heading5Char">
    <w:name w:val="Heading 5 Char"/>
    <w:basedOn w:val="DefaultParagraphFont"/>
    <w:link w:val="Heading5"/>
    <w:uiPriority w:val="9"/>
    <w:semiHidden/>
    <w:rsid w:val="002A3EC7"/>
    <w:rPr>
      <w:rFonts w:asciiTheme="majorHAnsi" w:eastAsiaTheme="majorEastAsia" w:hAnsiTheme="majorHAnsi" w:cstheme="majorBidi"/>
      <w:b/>
      <w:bCs/>
      <w:color w:val="7F7F7F" w:themeColor="text1" w:themeTint="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EC7"/>
    <w:pPr>
      <w:spacing w:after="0" w:line="240" w:lineRule="auto"/>
    </w:pPr>
    <w:rPr>
      <w:rFonts w:ascii="Arial" w:hAnsi="Arial"/>
    </w:rPr>
  </w:style>
  <w:style w:type="paragraph" w:styleId="Heading5">
    <w:name w:val="heading 5"/>
    <w:basedOn w:val="Normal"/>
    <w:next w:val="Normal"/>
    <w:link w:val="Heading5Char"/>
    <w:uiPriority w:val="9"/>
    <w:semiHidden/>
    <w:unhideWhenUsed/>
    <w:qFormat/>
    <w:rsid w:val="002A3EC7"/>
    <w:pPr>
      <w:spacing w:before="200"/>
      <w:outlineLvl w:val="4"/>
    </w:pPr>
    <w:rPr>
      <w:rFonts w:asciiTheme="majorHAnsi" w:eastAsiaTheme="majorEastAsia" w:hAnsiTheme="majorHAnsi" w:cstheme="majorBidi"/>
      <w:b/>
      <w:b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ll">
    <w:name w:val="null"/>
    <w:basedOn w:val="DefaultParagraphFont"/>
    <w:rsid w:val="002A3EC7"/>
  </w:style>
  <w:style w:type="paragraph" w:styleId="BalloonText">
    <w:name w:val="Balloon Text"/>
    <w:basedOn w:val="Normal"/>
    <w:link w:val="BalloonTextChar"/>
    <w:uiPriority w:val="99"/>
    <w:semiHidden/>
    <w:unhideWhenUsed/>
    <w:rsid w:val="002A3EC7"/>
    <w:rPr>
      <w:rFonts w:ascii="Tahoma" w:hAnsi="Tahoma" w:cs="Tahoma"/>
      <w:sz w:val="16"/>
      <w:szCs w:val="16"/>
    </w:rPr>
  </w:style>
  <w:style w:type="character" w:customStyle="1" w:styleId="BalloonTextChar">
    <w:name w:val="Balloon Text Char"/>
    <w:basedOn w:val="DefaultParagraphFont"/>
    <w:link w:val="BalloonText"/>
    <w:uiPriority w:val="99"/>
    <w:semiHidden/>
    <w:rsid w:val="002A3EC7"/>
    <w:rPr>
      <w:rFonts w:ascii="Tahoma" w:hAnsi="Tahoma" w:cs="Tahoma"/>
      <w:sz w:val="16"/>
      <w:szCs w:val="16"/>
    </w:rPr>
  </w:style>
  <w:style w:type="table" w:styleId="TableGrid">
    <w:name w:val="Table Grid"/>
    <w:basedOn w:val="TableNormal"/>
    <w:uiPriority w:val="59"/>
    <w:rsid w:val="002A3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A3EC7"/>
    <w:pPr>
      <w:tabs>
        <w:tab w:val="center" w:pos="4536"/>
        <w:tab w:val="right" w:pos="9072"/>
      </w:tabs>
    </w:pPr>
  </w:style>
  <w:style w:type="character" w:customStyle="1" w:styleId="HeaderChar">
    <w:name w:val="Header Char"/>
    <w:basedOn w:val="DefaultParagraphFont"/>
    <w:link w:val="Header"/>
    <w:uiPriority w:val="99"/>
    <w:rsid w:val="002A3EC7"/>
    <w:rPr>
      <w:rFonts w:ascii="Arial" w:hAnsi="Arial"/>
    </w:rPr>
  </w:style>
  <w:style w:type="paragraph" w:styleId="Footer">
    <w:name w:val="footer"/>
    <w:basedOn w:val="Normal"/>
    <w:link w:val="FooterChar"/>
    <w:uiPriority w:val="99"/>
    <w:unhideWhenUsed/>
    <w:rsid w:val="002A3EC7"/>
    <w:pPr>
      <w:tabs>
        <w:tab w:val="center" w:pos="4536"/>
        <w:tab w:val="right" w:pos="9072"/>
      </w:tabs>
    </w:pPr>
  </w:style>
  <w:style w:type="character" w:customStyle="1" w:styleId="FooterChar">
    <w:name w:val="Footer Char"/>
    <w:basedOn w:val="DefaultParagraphFont"/>
    <w:link w:val="Footer"/>
    <w:uiPriority w:val="99"/>
    <w:rsid w:val="002A3EC7"/>
    <w:rPr>
      <w:rFonts w:ascii="Arial" w:hAnsi="Arial"/>
    </w:rPr>
  </w:style>
  <w:style w:type="character" w:customStyle="1" w:styleId="Heading5Char">
    <w:name w:val="Heading 5 Char"/>
    <w:basedOn w:val="DefaultParagraphFont"/>
    <w:link w:val="Heading5"/>
    <w:uiPriority w:val="9"/>
    <w:semiHidden/>
    <w:rsid w:val="002A3EC7"/>
    <w:rPr>
      <w:rFonts w:asciiTheme="majorHAnsi" w:eastAsiaTheme="majorEastAsia" w:hAnsiTheme="majorHAnsi" w:cstheme="majorBidi"/>
      <w:b/>
      <w:bCs/>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5</Pages>
  <Words>408</Words>
  <Characters>2452</Characters>
  <Application>Microsoft Office Word</Application>
  <DocSecurity>0</DocSecurity>
  <Lines>20</Lines>
  <Paragraphs>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Tofik</dc:creator>
  <cp:lastModifiedBy>Bartek</cp:lastModifiedBy>
  <cp:revision>4</cp:revision>
  <dcterms:created xsi:type="dcterms:W3CDTF">2015-05-09T09:45:00Z</dcterms:created>
  <dcterms:modified xsi:type="dcterms:W3CDTF">2015-05-09T13:12:00Z</dcterms:modified>
</cp:coreProperties>
</file>