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Raport Architektury Korporacyjnej: Transformacja Cyfrowa i Integracja Standardów HL7 FHIR w Laboratorium Analizy Medycznej (Zadanie 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Kontekst Biznesowy i Operacyjny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Wprowadzenie do Domeny i Uwarunkowania Rynkowe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Współczesna medycyna laboratoryjna znajduje się w punkcie zwrotnym, zdefiniowanym przez konieczność przetwarzania ogromnych wolumenów danych diagnostycznych przy jednoczesnym zachowaniu rygorystycznych standardów jakości i bezpieczeństwa pacjenta. W kontekście analizowanego „Zadania 3: Laboratorium analizy medycznej”, organizacja staje przed wyzwaniem fundamentalnej przebudowy swojej architektury informatycznej, aby sprostać rosnącym wymaganiom interoperacyjności, szybkości działania oraz integralności danych. Sektor diagnostyki laboratoryjnej, będący źródłem około 70% wszystkich decyzji klinicznych podejmowanych przez lekarzy, ewoluuje z modelu opartego na izolowanych czynnościach analitycznych w kierunku zintegrowanego ekosystemu wymiany informacji medycznej.</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Tradycyjne podejście, w którym system LIMS (Laboratory Information Management System) pełnił rolę pasywnego repozytorium wyników, staje się niewystarczające w obliczu paradygmatu medycyny opartej na wartości (Value-Based Healthcare) oraz medycyny precyzyjnej.</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Obecne środowisko operacyjne laboratorium charakteryzuje się często fragmentaryzacją infrastruktury technicznej oraz brakiem spójności semantycznej w wymianie danych. Analizatory medyczne, pochodzące od różnych dostawców (np. Roche, Abbott, Siemens), komunikują się za pomocą zróżnicowanych, często przestarzałych protokołów niskopoziomowych (takich jak ASTM 1381/1394), co tworzy bariery w płynnym przepływie informacji do centralnego systemu LIMS.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Ponadto, rosnąca presja regulacyjna, w szczególności związana z nowelizacją normy ISO 15189:2022, narzuca na laboratoria medyczne nowe, rygorystyczne obowiązki w zakresie zarządzania ryzykiem, walidacji systemów informatycznych oraz zapewnienia pełnej identyfikowalności próbki (Chain of Custody) w całym cyklu jej życia.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Projekt transformacji, będący przedmiotem niniejszego raportu, ma na celu wdrożenie architektury zorientowanej na usługi (SOA), która połączy warstwę biznesową z nowoczesną technologią integracyjną opartą na standardach HL7 FHIR (Fast Healthcare Interoperability Resources). Implementacja ta nie jest jedynie modernizacją technologiczną, lecz strategiczną inicjatywą mającą na celu wyeliminowanie błędów przedanalitycznych, skrócenie czasu oczekiwania na wynik (TAT – Turnaround Time) oraz zapewnienie niezaprzeczalności danych dowodowych poprzez cyfrowy łańcuch nadzoru. W dobie cyfryzacji ochrony zdrowia, zdolność laboratorium do semantycznej wymiany danych z systemami szpitalnymi (HIS/EHR) oraz regionalnymi platformami wymiany danych (HIE) staje się kluczowym czynnikiem konkurencyjności i bezpieczeństwa klinicznego.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Cele Strategiczne i Wskaźniki Sukcesu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dyrektywą zarządczą zdefiniowaną w dokumentacji zadania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nadrzędnym celem projektu jest osiągnięcie wymiernych korzyści w obszarze wydajności operacyjnej i jakości danych. Organizacja zdefiniowała agresywne cele KPI (Key Performance Indicators), które wymuszają odejście od manualnych procesów na rzecz pełnej automatyzacji przepływu informacji.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Tabela 1. Cele Strategiczne i Wskaźniki Sukcesu (KPI)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 Biznesowy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Wartość Docelowa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Uzasadnienie Architektoniczne i Biznesowe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Skrócenie czasu TAT (Turnaround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w:t>
            </w:r>
            <w:r w:rsidDel="00000000" w:rsidR="00000000" w:rsidRPr="00000000">
              <w:rPr>
                <w:rFonts w:ascii="Google Sans Text" w:cs="Google Sans Text" w:eastAsia="Google Sans Text" w:hAnsi="Google Sans Text"/>
                <w:color w:val="1f1f1f"/>
                <w:shd w:fill="auto" w:val="clear"/>
                <w:rtl w:val="0"/>
              </w:rPr>
              <w:t xml:space="preserve"> redukcja całkowitego czasu od przyjęcia próbki do autoryzacji wyniku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Obecny proces obarczony jest opóźnieniami wynikającymi z ręcznej obsługi zleceń i konieczności manualnej walidacji wyników prawidłowych. Implementacja middleware z silnikiem autoweryfikacji (auto-verification) pozwoli na natychmiastowe zwalnianie do 80% wyników rutynowych, co bezpośrednio przełoży się na szybsze decyzje terapeutyczne.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Integralność Chain-of-Custody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w:t>
            </w:r>
            <w:r w:rsidDel="00000000" w:rsidR="00000000" w:rsidRPr="00000000">
              <w:rPr>
                <w:rFonts w:ascii="Google Sans Text" w:cs="Google Sans Text" w:eastAsia="Google Sans Text" w:hAnsi="Google Sans Text"/>
                <w:color w:val="1f1f1f"/>
                <w:shd w:fill="auto" w:val="clear"/>
                <w:rtl w:val="0"/>
              </w:rPr>
              <w:t xml:space="preserve"> kompletności cyfrowej ścieżki audytu (Audit Trail)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Wymóg ten wynika z konieczności zapewnienia niezaprzeczalności dowodowej, szczególnie w badaniach toksykologicznych i genetycznych. Wdrożenie mechanizmu opartego na zasobie FHIR Provenance oraz blockchain-like audit logs w LIMS wyeliminuje luki w historii próbki, zapewniając zgodność z FDA 21 CFR Part 11 i ISO 15189.</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Redukcja Błędów Identyfikacji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 0.01%</w:t>
            </w:r>
            <w:r w:rsidDel="00000000" w:rsidR="00000000" w:rsidRPr="00000000">
              <w:rPr>
                <w:rFonts w:ascii="Google Sans Text" w:cs="Google Sans Text" w:eastAsia="Google Sans Text" w:hAnsi="Google Sans Text"/>
                <w:color w:val="1f1f1f"/>
                <w:shd w:fill="auto" w:val="clear"/>
                <w:rtl w:val="0"/>
              </w:rPr>
              <w:t xml:space="preserve"> (poziom Six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Błędy identyfikacji pacjenta lub próbki stanowią najczęstszą przyczynę zdarzeń niepożądanych w laboratorium. Pełna integracja skanerów kodów kreskowych na każdym etapie (przyjęcie, alokacja, analiza) z walidacją w czasie rzeczywistym w LIMS (Positive Patient Identification) jest warunkiem koniecznym bezpieczeństwa.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Interoperacyjność Semantyczna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w:t>
            </w:r>
            <w:r w:rsidDel="00000000" w:rsidR="00000000" w:rsidRPr="00000000">
              <w:rPr>
                <w:rFonts w:ascii="Google Sans Text" w:cs="Google Sans Text" w:eastAsia="Google Sans Text" w:hAnsi="Google Sans Text"/>
                <w:color w:val="1f1f1f"/>
                <w:shd w:fill="auto" w:val="clear"/>
                <w:rtl w:val="0"/>
              </w:rPr>
              <w:t xml:space="preserve"> zgodności raportów ze standardem HL7 FHIR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Zastąpienie przestarzałych formatów (PDF, HL7 v2) ustrukturyzowanymi dokumentami FHIR DiagnosticReport umożliwi systemom zewnętrznym (EHR) maszynowe przetwarzanie wyników, co jest kluczowe dla systemów wspomagania decyzji klinicznych (CDSS) i analizy populacyjnej.</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Realizacja tych celów wymaga nie tylko wdrożenia nowych komponentów oprogramowania, ale również redefinicji procesów biznesowych (Business Process Reengineering), aby w pełni wykorzystać potencjał automatyzacji i standardów interoperacyjności.</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Zakres Modelowania i Granice Systemu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Projekt obejmuje kompleksowy zakres procesów diagnostycznych, zdefiniowanych jako „Specimen Lifecycle” (Cykl życia próbki) oraz „Result Reporting” (Raportowanie wyników). Granice systemu zostały wyznaczone w sposób precyzyjny, aby objąć wszystkie krytyczne punkty styku danych i materiału biologicznego.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Procesy Główne (Core Processes):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Rejestracja i Etykietowanie (Order Entry &amp; Accessioning):</w:t>
      </w:r>
      <w:r w:rsidDel="00000000" w:rsidR="00000000" w:rsidRPr="00000000">
        <w:rPr>
          <w:rFonts w:ascii="Google Sans Text" w:cs="Google Sans Text" w:eastAsia="Google Sans Text" w:hAnsi="Google Sans Text"/>
          <w:color w:val="1f1f1f"/>
          <w:rtl w:val="0"/>
        </w:rPr>
        <w:t xml:space="preserve"> Proces ten rozpoczyna się od otrzymania zlecenia elektronicznego (ServiceRequest) lub ręcznego wprowadzenia danych. Kluczowym elementem jest wygenerowanie unikalnego identyfikatora próbki (Accession Number) i wydruk etykiety zgodnej ze standardem ISBT 128 lub Code 128.</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Przyjęcie i Alokacja (Specimen Reception &amp; Triage):</w:t>
      </w:r>
      <w:r w:rsidDel="00000000" w:rsidR="00000000" w:rsidRPr="00000000">
        <w:rPr>
          <w:rFonts w:ascii="Google Sans Text" w:cs="Google Sans Text" w:eastAsia="Google Sans Text" w:hAnsi="Google Sans Text"/>
          <w:color w:val="1f1f1f"/>
          <w:rtl w:val="0"/>
        </w:rPr>
        <w:t xml:space="preserve"> Fizyczna weryfikacja jakości próbki w laboratorium (ocena pod kątem hemolizy, lipemii, skrzepów), jej rejestracja w systemie LIMS jako „przyjęta” oraz sortowanie do odpowiednich pracowni analitycznych (np. biochemia, immunochemia, hematologia).</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Przygotowanie Próbki (Pre-analytical Processing):</w:t>
      </w:r>
      <w:r w:rsidDel="00000000" w:rsidR="00000000" w:rsidRPr="00000000">
        <w:rPr>
          <w:rFonts w:ascii="Google Sans Text" w:cs="Google Sans Text" w:eastAsia="Google Sans Text" w:hAnsi="Google Sans Text"/>
          <w:color w:val="1f1f1f"/>
          <w:rtl w:val="0"/>
        </w:rPr>
        <w:t xml:space="preserve"> Czynności takie jak wirowanie (centryfugacja), alikwotacja (podział na próbki wtórne) oraz odkorkowywanie. Procesy te, często pomijane w starszych systemach, w nowej architekturze będą w pełni monitorowane cyfrowo w celu zachowania ciągłości Chain-of-Custody.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Analiza Instrumentalna (Analytical Phase):</w:t>
      </w:r>
      <w:r w:rsidDel="00000000" w:rsidR="00000000" w:rsidRPr="00000000">
        <w:rPr>
          <w:rFonts w:ascii="Google Sans Text" w:cs="Google Sans Text" w:eastAsia="Google Sans Text" w:hAnsi="Google Sans Text"/>
          <w:color w:val="1f1f1f"/>
          <w:rtl w:val="0"/>
        </w:rPr>
        <w:t xml:space="preserve"> Wykonanie właściwych oznaczeń na analizatorach automatycznych. Kluczowa jest tu dwukierunkowa komunikacja (bidirectional interface), w której analizator automatycznie pobiera zlecenia z systemu (Host Query) i odsyła wyniki surowe wraz z flagami aparaturowymi.</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Walidacja i Weryfikacja (Post-analytical Validation):</w:t>
      </w:r>
      <w:r w:rsidDel="00000000" w:rsidR="00000000" w:rsidRPr="00000000">
        <w:rPr>
          <w:rFonts w:ascii="Google Sans Text" w:cs="Google Sans Text" w:eastAsia="Google Sans Text" w:hAnsi="Google Sans Text"/>
          <w:color w:val="1f1f1f"/>
          <w:rtl w:val="0"/>
        </w:rPr>
        <w:t xml:space="preserve"> Dwuetapowy proces kontroli. Walidacja techniczna (automatyczna) sprawdza parametry kontroli jakości (QC) i zakresy analityczne. Walidacja medyczna (przez diagnostę) obejmuje interpretację kliniczną i korelację z historią pacjenta (Delta Check).</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Raportowanie (Result Reporting):</w:t>
      </w:r>
      <w:r w:rsidDel="00000000" w:rsidR="00000000" w:rsidRPr="00000000">
        <w:rPr>
          <w:rFonts w:ascii="Google Sans Text" w:cs="Google Sans Text" w:eastAsia="Google Sans Text" w:hAnsi="Google Sans Text"/>
          <w:color w:val="1f1f1f"/>
          <w:rtl w:val="0"/>
        </w:rPr>
        <w:t xml:space="preserve"> Generowanie końcowego dokumentu diagnostycznego (DiagnosticReport), jego cyfrowy podpis oraz bezpieczna transmisja do systemów zlecających w formacie HL7 FHIR.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Procesy Wspierające (Support Processes):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Zarządzanie Jakością (QMS - Quality Management System):</w:t>
      </w:r>
      <w:r w:rsidDel="00000000" w:rsidR="00000000" w:rsidRPr="00000000">
        <w:rPr>
          <w:rFonts w:ascii="Google Sans Text" w:cs="Google Sans Text" w:eastAsia="Google Sans Text" w:hAnsi="Google Sans Text"/>
          <w:color w:val="1f1f1f"/>
          <w:rtl w:val="0"/>
        </w:rPr>
        <w:t xml:space="preserve"> Obsługa wewnętrznej kontroli jakości (IQC), uczestnictwo w sprawdzianach biegłości (EQA/PT), nadzór nad kalibracją i konserwacją analizatorów oraz zarządzanie niezgodnościami (Non-Conformance Management) zgodnie z ISO 15189.</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Zarządzanie Łańcuchem Nadzoru (Chain-of-Custody Management):</w:t>
      </w:r>
      <w:r w:rsidDel="00000000" w:rsidR="00000000" w:rsidRPr="00000000">
        <w:rPr>
          <w:rFonts w:ascii="Google Sans Text" w:cs="Google Sans Text" w:eastAsia="Google Sans Text" w:hAnsi="Google Sans Text"/>
          <w:color w:val="1f1f1f"/>
          <w:rtl w:val="0"/>
        </w:rPr>
        <w:t xml:space="preserve"> Ciągłe śledzenie lokalizacji próbki, rejestracja osób odpowiedzialnych za jej przetwarzanie na każdym etapie oraz archiwizacja i bezpieczna utylizacja materiału biologicznego po upływie wymaganego czasu przechowywania.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Wyłączone z zakresu bezpośredniego modelowania technicznego (choć uwzględnione jako otoczenie) są procesy finansowo-księgowe (fakturowanie za badania komercyjne) oraz szczegółowa gospodarka magazynowa odczynników, chyba że ma ona bezpośredni wpływ na blokadę analizy w przypadku użycia przeterminowanych materiałów.</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Analiza Interesariuszy (Stakeholders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Dogłębna analiza potrzeb i bolączek poszczególnych aktorów procesu laboratoryjnego jest kluczowa dla zaprojektowania funkcjonalnej i ergonomicznej warstwy aplikacji.</w:t>
      </w:r>
    </w:p>
    <w:p w:rsidR="00000000" w:rsidDel="00000000" w:rsidP="00000000" w:rsidRDefault="00000000" w:rsidRPr="00000000" w14:paraId="0000002A">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Pracownik Recepcji / Rejestrator Medyczny:</w:t>
      </w:r>
    </w:p>
    <w:p w:rsidR="00000000" w:rsidDel="00000000" w:rsidP="00000000" w:rsidRDefault="00000000" w:rsidRPr="00000000" w14:paraId="0000002B">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Odpowiada za wstępne wprowadzanie danych i weryfikację tożsamości pacjenta.</w:t>
      </w:r>
    </w:p>
    <w:p w:rsidR="00000000" w:rsidDel="00000000" w:rsidP="00000000" w:rsidRDefault="00000000" w:rsidRPr="00000000" w14:paraId="0000002C">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Problem (Pain Point):</w:t>
      </w:r>
      <w:r w:rsidDel="00000000" w:rsidR="00000000" w:rsidRPr="00000000">
        <w:rPr>
          <w:rFonts w:ascii="Google Sans Text" w:cs="Google Sans Text" w:eastAsia="Google Sans Text" w:hAnsi="Google Sans Text"/>
          <w:color w:val="1f1f1f"/>
          <w:rtl w:val="0"/>
        </w:rPr>
        <w:t xml:space="preserve"> Ręczne przepisywanie danych ze skierowań papierowych jest czasochłonne i generuje wysokie ryzyko błędów (literówki w nazwiskach, błędne numery PESEL), co prowadzi do problemów z identyfikacją w dalszych etapach.</w:t>
      </w:r>
    </w:p>
    <w:p w:rsidR="00000000" w:rsidDel="00000000" w:rsidP="00000000" w:rsidRDefault="00000000" w:rsidRPr="00000000" w14:paraId="0000002D">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Maksymalna automatyzacja importu zleceń z systemów zewnętrznych (EHR), obsługa skanerów OCR do skierowań papierowych oraz system alertów o brakujących danych w czasie rzeczywistym.</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Technik Laboratoryjny:</w:t>
      </w:r>
    </w:p>
    <w:p w:rsidR="00000000" w:rsidDel="00000000" w:rsidP="00000000" w:rsidRDefault="00000000" w:rsidRPr="00000000" w14:paraId="0000002F">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Obsługa analizatorów, przygotowanie próbek, wykonywanie badań manualnych.</w:t>
      </w:r>
    </w:p>
    <w:p w:rsidR="00000000" w:rsidDel="00000000" w:rsidP="00000000" w:rsidRDefault="00000000" w:rsidRPr="00000000" w14:paraId="00000030">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Konieczność ręcznego tworzenia list roboczych (Worklists) w analizatorach, trudność w manualnym śledzeniu statusu pilności (CITO/STAT) próbek w gąszczu rutynowych zleceń.</w:t>
      </w:r>
    </w:p>
    <w:p w:rsidR="00000000" w:rsidDel="00000000" w:rsidP="00000000" w:rsidRDefault="00000000" w:rsidRPr="00000000" w14:paraId="00000031">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Pełna automatyzacja w trybie Host Query – wstawienie próbki do analizatora automatycznie inicjuje badanie. Wizualizacja statusu pracy urządzeń na centralnym dashboardzie.</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Diagnosta Laboratoryjny (Weryfikator Medyczny):</w:t>
      </w:r>
    </w:p>
    <w:p w:rsidR="00000000" w:rsidDel="00000000" w:rsidP="00000000" w:rsidRDefault="00000000" w:rsidRPr="00000000" w14:paraId="00000033">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Autoryzacja wyników, interpretacja kliniczna, konsultacje z lekarzami.</w:t>
      </w:r>
    </w:p>
    <w:p w:rsidR="00000000" w:rsidDel="00000000" w:rsidP="00000000" w:rsidRDefault="00000000" w:rsidRPr="00000000" w14:paraId="00000034">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Przeciążenie poznawcze (cognitive overload) wynikające z konieczności przeglądania setek wyników prawidłowych, co zwiększa ryzyko przeoczenia istotnych patologii. Brak szybkiego dostępu do historii pacjenta.</w:t>
      </w:r>
    </w:p>
    <w:p w:rsidR="00000000" w:rsidDel="00000000" w:rsidP="00000000" w:rsidRDefault="00000000" w:rsidRPr="00000000" w14:paraId="00000035">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Zaawansowany moduł autoweryfikacji, który filtruje wyniki bezproblemowe, pozwalając diagnoście skupić się wyłącznie na przypadkach patologicznych, wątpliwych lub wymagających komentarza klinicznego.</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Specjalista QA / Kierownik Jakości:</w:t>
      </w:r>
    </w:p>
    <w:p w:rsidR="00000000" w:rsidDel="00000000" w:rsidP="00000000" w:rsidRDefault="00000000" w:rsidRPr="00000000" w14:paraId="00000037">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Zapewnienie zgodności z normami akredytacyjnymi (ISO 15189), audyty wewnętrzne.</w:t>
      </w:r>
    </w:p>
    <w:p w:rsidR="00000000" w:rsidDel="00000000" w:rsidP="00000000" w:rsidRDefault="00000000" w:rsidRPr="00000000" w14:paraId="00000038">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Trudność w szybkim odtworzeniu pełnej historii próbki (Audit Trail) w przypadku reklamacji lub incydentu. Fragmentaryczne dane rozproszone między różnymi systemami i logami papierowymi.</w:t>
      </w:r>
    </w:p>
    <w:p w:rsidR="00000000" w:rsidDel="00000000" w:rsidP="00000000" w:rsidRDefault="00000000" w:rsidRPr="00000000" w14:paraId="00000039">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Zintegrowany moduł "Audit Trail &amp; Chain-of-Custody", umożliwiający wygenerowanie kompletnego raportu śladowania próbki i aktywności użytkowników jednym kliknięciem, niezbędnego podczas inspekcji PCA (Polskie Centrum Akredytacji).</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Architektura Biznesowa (Business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Architektura biznesowa definiuje, w jaki sposób laboratorium tworzy wartość dla pacjentów i lekarzy oraz jakie procesy są niezbędne do realizacji celów strategicznych. W modelu wykorzystano notację BPMN 2.0 do szczegółowego opisania przepływów pracy, uwzględniając specyfikę medyczną.</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Usługa Biznesowa: "Dostarczanie wiarygodnych wyników badań"</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Główną usługą biznesową laboratorium jest dostarczenie informacji diagnostycznej o określonej precyzji, w akceptowalnym czasie i w formacie zrozumiałym dla odbiorcy. Usługa ta jest realizowana poprzez proces "Specimen Lifecycle" i wspierana przez proces "Result Reporting".</w:t>
      </w:r>
    </w:p>
    <w:p w:rsidR="00000000" w:rsidDel="00000000" w:rsidP="00000000" w:rsidRDefault="00000000" w:rsidRPr="00000000" w14:paraId="0000003E">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Wejście:</w:t>
      </w:r>
      <w:r w:rsidDel="00000000" w:rsidR="00000000" w:rsidRPr="00000000">
        <w:rPr>
          <w:rFonts w:ascii="Google Sans Text" w:cs="Google Sans Text" w:eastAsia="Google Sans Text" w:hAnsi="Google Sans Text"/>
          <w:color w:val="1f1f1f"/>
          <w:rtl w:val="0"/>
        </w:rPr>
        <w:t xml:space="preserve"> Zlecenie lekarskie (Order/ServiceRequest), Materiał biologiczny (Specimen), Dane kliniczne pacjenta.</w:t>
      </w:r>
    </w:p>
    <w:p w:rsidR="00000000" w:rsidDel="00000000" w:rsidP="00000000" w:rsidRDefault="00000000" w:rsidRPr="00000000" w14:paraId="0000003F">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Wyjście:</w:t>
      </w:r>
      <w:r w:rsidDel="00000000" w:rsidR="00000000" w:rsidRPr="00000000">
        <w:rPr>
          <w:rFonts w:ascii="Google Sans Text" w:cs="Google Sans Text" w:eastAsia="Google Sans Text" w:hAnsi="Google Sans Text"/>
          <w:color w:val="1f1f1f"/>
          <w:rtl w:val="0"/>
        </w:rPr>
        <w:t xml:space="preserve"> Zwalidowany Raport Diagnostyczny (DiagnosticReport), Interpretacja wyniku (Observation), Konsultacja diagnostyczna.</w:t>
      </w:r>
    </w:p>
    <w:p w:rsidR="00000000" w:rsidDel="00000000" w:rsidP="00000000" w:rsidRDefault="00000000" w:rsidRPr="00000000" w14:paraId="00000040">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Interfejs do Klienta:</w:t>
      </w:r>
      <w:r w:rsidDel="00000000" w:rsidR="00000000" w:rsidRPr="00000000">
        <w:rPr>
          <w:rFonts w:ascii="Google Sans Text" w:cs="Google Sans Text" w:eastAsia="Google Sans Text" w:hAnsi="Google Sans Text"/>
          <w:color w:val="1f1f1f"/>
          <w:rtl w:val="0"/>
        </w:rPr>
        <w:t xml:space="preserve"> Portal Lekarza, System EHR Szpitala, Aplikacja Pacjenta (poprzez API), powiadomienia SMS/Email.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Modelowanie Procesów BPMN</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Proces 1: "Specimen Lifecycle" (Cykl życia próbki)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Jest to kręgosłup operacyjny laboratorium, definiujący fizyczną i logiczną drogę próbki. Proces ten został zamodelowany z uwzględnieniem poziomu szczegółowości N-2, aby uchwycić krytyczne punkty kontrolne dla Chain-of-Custody.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Przebieg procesu:</w:t>
      </w:r>
    </w:p>
    <w:p w:rsidR="00000000" w:rsidDel="00000000" w:rsidP="00000000" w:rsidRDefault="00000000" w:rsidRPr="00000000" w14:paraId="00000045">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Rejestracja i Etykietowanie (Registration &amp; Labeling):</w:t>
      </w:r>
    </w:p>
    <w:p w:rsidR="00000000" w:rsidDel="00000000" w:rsidP="00000000" w:rsidRDefault="00000000" w:rsidRPr="00000000" w14:paraId="00000046">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Proces rozpoczyna się od wpłynięcia zlecenia. W przypadku zleceń elektronicznych (e-Order), LIMS automatycznie pobiera dane z wiadomości HL7 ORM/OML.</w:t>
      </w:r>
    </w:p>
    <w:p w:rsidR="00000000" w:rsidDel="00000000" w:rsidP="00000000" w:rsidRDefault="00000000" w:rsidRPr="00000000" w14:paraId="00000047">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Podproces:</w:t>
      </w:r>
      <w:r w:rsidDel="00000000" w:rsidR="00000000" w:rsidRPr="00000000">
        <w:rPr>
          <w:rFonts w:ascii="Google Sans Text" w:cs="Google Sans Text" w:eastAsia="Google Sans Text" w:hAnsi="Google Sans Text"/>
          <w:color w:val="1f1f1f"/>
          <w:rtl w:val="0"/>
        </w:rPr>
        <w:t xml:space="preserve"> Weryfikacja danych demograficznych pacjenta w bazie e-Wuś/EHR.</w:t>
      </w:r>
    </w:p>
    <w:p w:rsidR="00000000" w:rsidDel="00000000" w:rsidP="00000000" w:rsidRDefault="00000000" w:rsidRPr="00000000" w14:paraId="00000048">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Akcja Systemowa:</w:t>
      </w:r>
      <w:r w:rsidDel="00000000" w:rsidR="00000000" w:rsidRPr="00000000">
        <w:rPr>
          <w:rFonts w:ascii="Google Sans Text" w:cs="Google Sans Text" w:eastAsia="Google Sans Text" w:hAnsi="Google Sans Text"/>
          <w:color w:val="1f1f1f"/>
          <w:rtl w:val="0"/>
        </w:rPr>
        <w:t xml:space="preserve"> LIMS generuje unikalny numer próbki (SID) i wysyła komendę do drukarki kodów kreskowych. Etykieta zawiera kod kreskowy (np. Code 128 lub 2D DataMatrix) oraz czytelne dane (Imię, Nazwisko, Data urodzenia, Typ materiału).</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9">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Przyjęcie i Alokacja (Reception &amp; Allocation):</w:t>
      </w:r>
    </w:p>
    <w:p w:rsidR="00000000" w:rsidDel="00000000" w:rsidP="00000000" w:rsidRDefault="00000000" w:rsidRPr="00000000" w14:paraId="0000004A">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Technik skanuje próbki dostarczone do laboratorium. System LIMS zmienia status próbki na "Received" i rejestruje czas przyjęcia (Timestamp) – jest to start licznika TAT wewnątrz laboratorium.</w:t>
      </w:r>
    </w:p>
    <w:p w:rsidR="00000000" w:rsidDel="00000000" w:rsidP="00000000" w:rsidRDefault="00000000" w:rsidRPr="00000000" w14:paraId="0000004B">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Decyzja (Gateway):</w:t>
      </w:r>
      <w:r w:rsidDel="00000000" w:rsidR="00000000" w:rsidRPr="00000000">
        <w:rPr>
          <w:rFonts w:ascii="Google Sans Text" w:cs="Google Sans Text" w:eastAsia="Google Sans Text" w:hAnsi="Google Sans Text"/>
          <w:color w:val="1f1f1f"/>
          <w:rtl w:val="0"/>
        </w:rPr>
        <w:t xml:space="preserve"> Czy próbka spełnia kryteria przyjęcia? (Brak skrzepu, właściwa objętość). Jeśli nie -&gt; Ścieżka odrzucenia (Rejection Workflow) z powiadomieniem lekarza.</w:t>
      </w:r>
    </w:p>
    <w:p w:rsidR="00000000" w:rsidDel="00000000" w:rsidP="00000000" w:rsidRDefault="00000000" w:rsidRPr="00000000" w14:paraId="0000004C">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Podproces Alikwotacji:</w:t>
      </w:r>
      <w:r w:rsidDel="00000000" w:rsidR="00000000" w:rsidRPr="00000000">
        <w:rPr>
          <w:rFonts w:ascii="Google Sans Text" w:cs="Google Sans Text" w:eastAsia="Google Sans Text" w:hAnsi="Google Sans Text"/>
          <w:color w:val="1f1f1f"/>
          <w:rtl w:val="0"/>
        </w:rPr>
        <w:t xml:space="preserve"> Jeśli jedno zlecenie wymaga badań w różnych pracowniach (np. biochemia i immunochemia z jednej probówki surowicy), następuje podział próbki na probówki wtórne (alikwoty). Każdy alikwot otrzymuje unikalny pod-identyfikator powiązany z próbką macierzystą (Parent-Child relationship), co jest krytyczne dla identyfikowalności.</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D">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Przygotowanie Próbki (Specimen Preparation):</w:t>
      </w:r>
    </w:p>
    <w:p w:rsidR="00000000" w:rsidDel="00000000" w:rsidP="00000000" w:rsidRDefault="00000000" w:rsidRPr="00000000" w14:paraId="0000004E">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Próbki krwi (np. na skrzep) trafiają do wirówki. Parametry wirowania (czas, G-force) są zdefiniowane w SOP. W systemach zautomatyzowanych (TLA - Total Laboratory Automation), status wirowania jest automatycznie aktualizowany w middleware.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Analiza na Instrumencie (Instrument Analysis):</w:t>
      </w:r>
    </w:p>
    <w:p w:rsidR="00000000" w:rsidDel="00000000" w:rsidP="00000000" w:rsidRDefault="00000000" w:rsidRPr="00000000" w14:paraId="00000050">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Technik umieszcza próbkę w statywie analizatora.</w:t>
      </w:r>
    </w:p>
    <w:p w:rsidR="00000000" w:rsidDel="00000000" w:rsidP="00000000" w:rsidRDefault="00000000" w:rsidRPr="00000000" w14:paraId="00000051">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Interakcja Techniczna:</w:t>
      </w:r>
      <w:r w:rsidDel="00000000" w:rsidR="00000000" w:rsidRPr="00000000">
        <w:rPr>
          <w:rFonts w:ascii="Google Sans Text" w:cs="Google Sans Text" w:eastAsia="Google Sans Text" w:hAnsi="Google Sans Text"/>
          <w:color w:val="1f1f1f"/>
          <w:rtl w:val="0"/>
        </w:rPr>
        <w:t xml:space="preserve"> Analizator skanuje kod kreskowy i wysyła zapytanie (Query) do Middleware. Middleware sprawdza w LIMS, jakie testy są zlecone dla tego SID i odsyła listę do analizatora. Analizator wykonuje oznaczenia (np. Glukoza, TSH).</w:t>
      </w:r>
    </w:p>
    <w:p w:rsidR="00000000" w:rsidDel="00000000" w:rsidP="00000000" w:rsidRDefault="00000000" w:rsidRPr="00000000" w14:paraId="00000052">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Walidacja Wyniku (Result Validation):</w:t>
      </w:r>
    </w:p>
    <w:p w:rsidR="00000000" w:rsidDel="00000000" w:rsidP="00000000" w:rsidRDefault="00000000" w:rsidRPr="00000000" w14:paraId="00000053">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Wyniki surowe trafiają do Middleware.</w:t>
      </w:r>
    </w:p>
    <w:p w:rsidR="00000000" w:rsidDel="00000000" w:rsidP="00000000" w:rsidRDefault="00000000" w:rsidRPr="00000000" w14:paraId="00000054">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Business Rule Task (Autoweryfikacja):</w:t>
      </w:r>
      <w:r w:rsidDel="00000000" w:rsidR="00000000" w:rsidRPr="00000000">
        <w:rPr>
          <w:rFonts w:ascii="Google Sans Text" w:cs="Google Sans Text" w:eastAsia="Google Sans Text" w:hAnsi="Google Sans Text"/>
          <w:color w:val="1f1f1f"/>
          <w:rtl w:val="0"/>
        </w:rPr>
        <w:t xml:space="preserve"> Algorytm sprawdza zestaw reguł: Czy wynik mieści się w zakresie referencyjnym? Czy nie narusza zasad Delta Check (nagła zmiana względem poprzedniego wyniku)? Czy kontrola jakości (QC) dla tej serii była poprawna? Czy analizator nie zgłosił flag błędów (np. aspiracja pęcherzyka powietrza)?</w:t>
      </w:r>
    </w:p>
    <w:p w:rsidR="00000000" w:rsidDel="00000000" w:rsidP="00000000" w:rsidRDefault="00000000" w:rsidRPr="00000000" w14:paraId="00000055">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Ścieżka Pozytywna:</w:t>
      </w:r>
      <w:r w:rsidDel="00000000" w:rsidR="00000000" w:rsidRPr="00000000">
        <w:rPr>
          <w:rFonts w:ascii="Google Sans Text" w:cs="Google Sans Text" w:eastAsia="Google Sans Text" w:hAnsi="Google Sans Text"/>
          <w:color w:val="1f1f1f"/>
          <w:rtl w:val="0"/>
        </w:rPr>
        <w:t xml:space="preserve"> Jeśli wszystkie reguły są spełnione, wynik jest automatycznie zatwierdzany i przesyłany do LIMS jako "Final".</w:t>
      </w:r>
    </w:p>
    <w:p w:rsidR="00000000" w:rsidDel="00000000" w:rsidP="00000000" w:rsidRDefault="00000000" w:rsidRPr="00000000" w14:paraId="00000056">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Ścieżka Wyjątku:</w:t>
      </w:r>
      <w:r w:rsidDel="00000000" w:rsidR="00000000" w:rsidRPr="00000000">
        <w:rPr>
          <w:rFonts w:ascii="Google Sans Text" w:cs="Google Sans Text" w:eastAsia="Google Sans Text" w:hAnsi="Google Sans Text"/>
          <w:color w:val="1f1f1f"/>
          <w:rtl w:val="0"/>
        </w:rPr>
        <w:t xml:space="preserve"> Jeśli jakakolwiek reguła jest naruszona, wynik jest zatrzymywany w Middleware ze statusem "To Review" i wymaga interwencji Diagnosty.</w:t>
      </w:r>
    </w:p>
    <w:p w:rsidR="00000000" w:rsidDel="00000000" w:rsidP="00000000" w:rsidRDefault="00000000" w:rsidRPr="00000000" w14:paraId="00000057">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Przekazanie do Raportu:</w:t>
      </w:r>
      <w:r w:rsidDel="00000000" w:rsidR="00000000" w:rsidRPr="00000000">
        <w:rPr>
          <w:rFonts w:ascii="Google Sans Text" w:cs="Google Sans Text" w:eastAsia="Google Sans Text" w:hAnsi="Google Sans Text"/>
          <w:color w:val="1f1f1f"/>
          <w:rtl w:val="0"/>
        </w:rPr>
        <w:t xml:space="preserve"> Skompletowane wyniki są gotowe do agregacji w raporcie końcowym.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Obsługa Wyjątków (Exception Handling):</w:t>
      </w:r>
    </w:p>
    <w:p w:rsidR="00000000" w:rsidDel="00000000" w:rsidP="00000000" w:rsidRDefault="00000000" w:rsidRPr="00000000" w14:paraId="00000059">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Błąd w QC:</w:t>
      </w:r>
      <w:r w:rsidDel="00000000" w:rsidR="00000000" w:rsidRPr="00000000">
        <w:rPr>
          <w:rFonts w:ascii="Google Sans Text" w:cs="Google Sans Text" w:eastAsia="Google Sans Text" w:hAnsi="Google Sans Text"/>
          <w:color w:val="1f1f1f"/>
          <w:rtl w:val="0"/>
        </w:rPr>
        <w:t xml:space="preserve"> Jeśli kontrola jakości (Internal QC) wyjdzie poza zakres (reguły Westgarda), Middleware automatycznie blokuje uwalnianie wyników pacjentów dla danego parametru do momentu przeprowadzenia działań korygujących (kalibracja, wymiana odczynnika) i powtórzenia kontroli.</w:t>
      </w:r>
    </w:p>
    <w:p w:rsidR="00000000" w:rsidDel="00000000" w:rsidP="00000000" w:rsidRDefault="00000000" w:rsidRPr="00000000" w14:paraId="0000005A">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Próbka Hemolityczna:</w:t>
      </w:r>
      <w:r w:rsidDel="00000000" w:rsidR="00000000" w:rsidRPr="00000000">
        <w:rPr>
          <w:rFonts w:ascii="Google Sans Text" w:cs="Google Sans Text" w:eastAsia="Google Sans Text" w:hAnsi="Google Sans Text"/>
          <w:color w:val="1f1f1f"/>
          <w:rtl w:val="0"/>
        </w:rPr>
        <w:t xml:space="preserve"> Analizator wykrywa hemolizę (indeks H). System automatycznie dodaje komentarz do wyniku ("Próbka hemolityczna, wynik może być zafałszowany") lub odrzuca wynik w zależności od stopnia interferencji i specyfiki testu (np. potas jest silnie wrażliwy na hemolizę).</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Proces 2: "Result Reporting" (Raportowanie wyników)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Proces ten zarządza finalizacją danych diagnostycznych i ich dystrybucją do interesariuszy.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Przebieg procesu:</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Generowanie Wyniku (Result Generation):</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LIMS agreguje cząstkowe wyniki z różnych sekcji (Observation) w jeden spójny rekord dla danego zlecenia. Dołączane są zakresy referencyjne odpowiednie dla wieku i płci pacjenta.</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Translacja Kodów (Code Mapping):</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Jest to kluczowy krok dla zapewnienia interoperacyjności semantycznej. Wewnętrzne kody testów (np. "WBC_COUNT") są mapowane na standardowe kody LOINC (np. "6690-2" dla liczby leukocytów). Wyniki jakościowe (np. "Dodatni") są mapowane na kody SNOMED CT.</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Wysyłka HL7/FHIR (Transmission):</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LIMS konstruuje komunikat wyjściowy. W nowoczesnej architekturze jest to zasób DiagnosticReport zgodny ze standardem FHIR R4. Zawiera on referencje do zasobów Patient, Specimen, ServiceRequest oraz Observation.</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Komunikat jest wysyłany do szyny integracyjnej (ESB) lub bezpośrednio do serwera FHIR odbiorcy.</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Potwierdzenie Odbioru (Acknowledgement):</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oczekuje na potwierdzenie przyjęcia komunikatu (Application ACK). Brak potwierdzenia generuje alert techniczny dla administratora.</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Korekta/Errata (Correction/Amendment):</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 przypadku konieczności korekty wyniku po jego wysłaniu (np. wykrycie błędu analitycznego po czasie), proces inicjuje procedurę "Amended Report". Generowana jest nowa wersja raportu ze statusem amended lub corrected, która całkowicie zastępuje poprzednią wersję w systemie odbiorczym, zachowując jednak historię zmian (Audit Trail).</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Architektura Aplikacji (Application Architecture)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aplikacji stanowi "cyfrowy układ nerwowy" laboratorium, łącząc procesy biznesowe z fizyczną infrastrukturą. Zaprojektowana architektura jest wielowarstwowa i modułowa, co ułatwia skalowanie i utrzymanie.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Komponenty Aplikacyjne i ich Rola</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LIMS (Poziom Zarządzania):</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Funkcja:</w:t>
      </w:r>
      <w:r w:rsidDel="00000000" w:rsidR="00000000" w:rsidRPr="00000000">
        <w:rPr>
          <w:rFonts w:ascii="Google Sans Text" w:cs="Google Sans Text" w:eastAsia="Google Sans Text" w:hAnsi="Google Sans Text"/>
          <w:color w:val="1f1f1f"/>
          <w:rtl w:val="0"/>
        </w:rPr>
        <w:t xml:space="preserve"> Centralny system zarządzania (Core System). Przechowuje dane pacjentów, zlecenia, wyniki, dane rozliczeniowe. Odpowiada za logikę biznesową, śledzenie statusów, zarządzanie uprawnieniami (RBAC) i generowanie raportów.</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Usługi:</w:t>
      </w:r>
      <w:r w:rsidDel="00000000" w:rsidR="00000000" w:rsidRPr="00000000">
        <w:rPr>
          <w:rFonts w:ascii="Google Sans Text" w:cs="Google Sans Text" w:eastAsia="Google Sans Text" w:hAnsi="Google Sans Text"/>
          <w:color w:val="1f1f1f"/>
          <w:rtl w:val="0"/>
        </w:rPr>
        <w:t xml:space="preserve"> Order Management, Specimen Tracking, Reporting Service, Billing.</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Instrument Middleware (Warstwa Pośrednicząca):</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Przykład:</w:t>
      </w:r>
      <w:r w:rsidDel="00000000" w:rsidR="00000000" w:rsidRPr="00000000">
        <w:rPr>
          <w:rFonts w:ascii="Google Sans Text" w:cs="Google Sans Text" w:eastAsia="Google Sans Text" w:hAnsi="Google Sans Text"/>
          <w:color w:val="1f1f1f"/>
          <w:rtl w:val="0"/>
        </w:rPr>
        <w:t xml:space="preserve"> Rozwiązania klasy Data Innovations Instrument Manager lub Mirth Connect.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Funkcja:</w:t>
      </w:r>
      <w:r w:rsidDel="00000000" w:rsidR="00000000" w:rsidRPr="00000000">
        <w:rPr>
          <w:rFonts w:ascii="Google Sans Text" w:cs="Google Sans Text" w:eastAsia="Google Sans Text" w:hAnsi="Google Sans Text"/>
          <w:color w:val="1f1f1f"/>
          <w:rtl w:val="0"/>
        </w:rPr>
        <w:t xml:space="preserve"> Krytyczny komponent integracyjny. Tłumaczy specyficzne protokoły producentów analizatorów (ASTM, proprietary binary) na standard zrozumumiały dla LIMS (często HL7 lub XML). Pełni funkcję bufora danych (Data Buffer) w przypadku awarii sieci lub LIMS, zapobiegając utracie wyników. Realizuje logikę autoweryfikacji na poziomie technicznym.</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Usługi:</w:t>
      </w:r>
      <w:r w:rsidDel="00000000" w:rsidR="00000000" w:rsidRPr="00000000">
        <w:rPr>
          <w:rFonts w:ascii="Google Sans Text" w:cs="Google Sans Text" w:eastAsia="Google Sans Text" w:hAnsi="Google Sans Text"/>
          <w:color w:val="1f1f1f"/>
          <w:rtl w:val="0"/>
        </w:rPr>
        <w:t xml:space="preserve"> Protocol Translation, Data Buffering, Autoverification Engine, Connection Monitoring.</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EMR Connector / Integration Engine (Warstwa Interoperacyjności):</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Funkcja:</w:t>
      </w:r>
      <w:r w:rsidDel="00000000" w:rsidR="00000000" w:rsidRPr="00000000">
        <w:rPr>
          <w:rFonts w:ascii="Google Sans Text" w:cs="Google Sans Text" w:eastAsia="Google Sans Text" w:hAnsi="Google Sans Text"/>
          <w:color w:val="1f1f1f"/>
          <w:rtl w:val="0"/>
        </w:rPr>
        <w:t xml:space="preserve"> Brama komunikacyjna ze światem zewnętrznym. Transformuje wewnętrzne struktury danych LIMS na standardowe komunikaty HL7 v2.5 (ORU^R01) lub zasoby FHIR (DiagnosticReport). Obsługuje szyfrowanie i uwierzytelnianie połączeń.</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Usługi:</w:t>
      </w:r>
      <w:r w:rsidDel="00000000" w:rsidR="00000000" w:rsidRPr="00000000">
        <w:rPr>
          <w:rFonts w:ascii="Google Sans Text" w:cs="Google Sans Text" w:eastAsia="Google Sans Text" w:hAnsi="Google Sans Text"/>
          <w:color w:val="1f1f1f"/>
          <w:rtl w:val="0"/>
        </w:rPr>
        <w:t xml:space="preserve"> FHIR Interface, HL7 Broker, Terminology Mapping Service (LOINC/SNOMED).</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Chain-of-Custody (Moduł Śledzenia):</w:t>
      </w:r>
    </w:p>
    <w:p w:rsidR="00000000" w:rsidDel="00000000" w:rsidP="00000000" w:rsidRDefault="00000000" w:rsidRPr="00000000" w14:paraId="0000007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Funkcja:</w:t>
      </w:r>
      <w:r w:rsidDel="00000000" w:rsidR="00000000" w:rsidRPr="00000000">
        <w:rPr>
          <w:rFonts w:ascii="Google Sans Text" w:cs="Google Sans Text" w:eastAsia="Google Sans Text" w:hAnsi="Google Sans Text"/>
          <w:color w:val="1f1f1f"/>
          <w:rtl w:val="0"/>
        </w:rPr>
        <w:t xml:space="preserve"> Dedykowany moduł lub usługa w ramach LIMS, rejestrująca każde zdarzenie (Event) związane z próbką: kto, kiedy, gdzie, co zrobił.</w:t>
      </w:r>
    </w:p>
    <w:p w:rsidR="00000000" w:rsidDel="00000000" w:rsidP="00000000" w:rsidRDefault="00000000" w:rsidRPr="00000000" w14:paraId="00000078">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Usługi:</w:t>
      </w:r>
      <w:r w:rsidDel="00000000" w:rsidR="00000000" w:rsidRPr="00000000">
        <w:rPr>
          <w:rFonts w:ascii="Google Sans Text" w:cs="Google Sans Text" w:eastAsia="Google Sans Text" w:hAnsi="Google Sans Text"/>
          <w:color w:val="1f1f1f"/>
          <w:rtl w:val="0"/>
        </w:rPr>
        <w:t xml:space="preserve"> Audit Logging, Provenance Tracking.</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Mapowanie Usług Aplikacyjnych na Procesy BPMN (Services Mapping)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Każdy krok procesu biznesowego jest wspierany przez konkretną usługę aplikacyjną, co zapewnia spójność modelu.</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Podproces BPMN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Usługa Aplikacyjna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 Realizujący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Obiekt Danych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Opis Funkcjonalny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Rejestracja i Etykietowanie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Order Management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ServiceRequest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Pobranie danych zlecenia, walidacja kompletności, generowanie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Przyjęcie i Alokacja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Specimen Tracking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Rejestracja przyjęcia, przypisanie do pracowni, śledzenie alikwotów.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Analiza na Instrumencie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Instrument Interface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Middleware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Worklist / DeviceMetric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Dwukierunkowa wymiana danych (Query/Response) z analizatorem.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Walidacja Wyniku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Result Validation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Middleware / LIMS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Observation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Automatyczna weryfikacja wg reguł (QC, Delta Check, zakresy).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Wysyłka HL7/FHIR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Interoperability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EMR Connector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DiagnosticReport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Konwersja danych do standardu FHIR, mapowanie terminologii, wysyłka.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Nadzór nad CoC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Audit Trail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LIMS / Middleware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Rejestracja historii zmian i ruchu próbki ("Kto, Co, Kiedy").</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Model Interfejsów i Przepływ Danych (Standard HL7 FHIR)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 nowej architekturze kluczową rolę odgrywa standard HL7 FHIR (Release 4), który zastępuje sztywne komunikaty HL7 v2. Umożliwia on elastyczną, opartą na API (RESTful) wymianę danych.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Kluczowe Zasoby FHIR w Laboratorium:</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ServiceRequest:</w:t>
      </w:r>
      <w:r w:rsidDel="00000000" w:rsidR="00000000" w:rsidRPr="00000000">
        <w:rPr>
          <w:rFonts w:ascii="Google Sans Text" w:cs="Google Sans Text" w:eastAsia="Google Sans Text" w:hAnsi="Google Sans Text"/>
          <w:color w:val="1f1f1f"/>
          <w:rtl w:val="0"/>
        </w:rPr>
        <w:t xml:space="preserve"> Cyfrowa reprezentacja zlecenia. Zawiera informacje o tym, </w:t>
      </w:r>
      <w:r w:rsidDel="00000000" w:rsidR="00000000" w:rsidRPr="00000000">
        <w:rPr>
          <w:rFonts w:ascii="Google Sans Text" w:cs="Google Sans Text" w:eastAsia="Google Sans Text" w:hAnsi="Google Sans Text"/>
          <w:i w:val="1"/>
          <w:iCs w:val="1"/>
          <w:color w:val="1f1f1f"/>
          <w:rtl w:val="0"/>
        </w:rPr>
        <w:t xml:space="preserve">co</w:t>
      </w:r>
      <w:r w:rsidDel="00000000" w:rsidR="00000000" w:rsidRPr="00000000">
        <w:rPr>
          <w:rFonts w:ascii="Google Sans Text" w:cs="Google Sans Text" w:eastAsia="Google Sans Text" w:hAnsi="Google Sans Text"/>
          <w:color w:val="1f1f1f"/>
          <w:rtl w:val="0"/>
        </w:rPr>
        <w:t xml:space="preserve"> ma być zbadane (code - np. lipidogram), </w:t>
      </w:r>
      <w:r w:rsidDel="00000000" w:rsidR="00000000" w:rsidRPr="00000000">
        <w:rPr>
          <w:rFonts w:ascii="Google Sans Text" w:cs="Google Sans Text" w:eastAsia="Google Sans Text" w:hAnsi="Google Sans Text"/>
          <w:i w:val="1"/>
          <w:iCs w:val="1"/>
          <w:color w:val="1f1f1f"/>
          <w:rtl w:val="0"/>
        </w:rPr>
        <w:t xml:space="preserve">dla kogo</w:t>
      </w:r>
      <w:r w:rsidDel="00000000" w:rsidR="00000000" w:rsidRPr="00000000">
        <w:rPr>
          <w:rFonts w:ascii="Google Sans Text" w:cs="Google Sans Text" w:eastAsia="Google Sans Text" w:hAnsi="Google Sans Text"/>
          <w:color w:val="1f1f1f"/>
          <w:rtl w:val="0"/>
        </w:rPr>
        <w:t xml:space="preserve"> (subject - pacjent) i </w:t>
      </w:r>
      <w:r w:rsidDel="00000000" w:rsidR="00000000" w:rsidRPr="00000000">
        <w:rPr>
          <w:rFonts w:ascii="Google Sans Text" w:cs="Google Sans Text" w:eastAsia="Google Sans Text" w:hAnsi="Google Sans Text"/>
          <w:i w:val="1"/>
          <w:iCs w:val="1"/>
          <w:color w:val="1f1f1f"/>
          <w:rtl w:val="0"/>
        </w:rPr>
        <w:t xml:space="preserve">przez kogo</w:t>
      </w:r>
      <w:r w:rsidDel="00000000" w:rsidR="00000000" w:rsidRPr="00000000">
        <w:rPr>
          <w:rFonts w:ascii="Google Sans Text" w:cs="Google Sans Text" w:eastAsia="Google Sans Text" w:hAnsi="Google Sans Text"/>
          <w:color w:val="1f1f1f"/>
          <w:rtl w:val="0"/>
        </w:rPr>
        <w:t xml:space="preserve"> zlecone (requester).</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Specimen:</w:t>
      </w:r>
      <w:r w:rsidDel="00000000" w:rsidR="00000000" w:rsidRPr="00000000">
        <w:rPr>
          <w:rFonts w:ascii="Google Sans Text" w:cs="Google Sans Text" w:eastAsia="Google Sans Text" w:hAnsi="Google Sans Text"/>
          <w:color w:val="1f1f1f"/>
          <w:rtl w:val="0"/>
        </w:rPr>
        <w:t xml:space="preserve"> Reprezentuje fizyczną próbkę. Jest to zasób centralny dla Chain-of-Custody. Atrybuty kluczowe:</w:t>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identifier: Kod kreskowy próbki.</w:t>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type: Rodzaj materiału (np. krew żylna, mocz).</w:t>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collection: Czas i metoda pobrania, dane osoby pobierającej (collector).</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processing: Historia przetwarzania (np. wirowanie, dodanie konserwantu).</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Observation:</w:t>
      </w:r>
      <w:r w:rsidDel="00000000" w:rsidR="00000000" w:rsidRPr="00000000">
        <w:rPr>
          <w:rFonts w:ascii="Google Sans Text" w:cs="Google Sans Text" w:eastAsia="Google Sans Text" w:hAnsi="Google Sans Text"/>
          <w:color w:val="1f1f1f"/>
          <w:rtl w:val="0"/>
        </w:rPr>
        <w:t xml:space="preserve"> Pojedynczy wynik badania (np. poziom cholesterolu). Zawiera wartość (valueQuantity), jednostkę (unit), zakres referencyjny (referenceRange), status (final, preliminary) oraz kod LOINC identyfikujący badanie.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DiagnosticReport:</w:t>
      </w:r>
      <w:r w:rsidDel="00000000" w:rsidR="00000000" w:rsidRPr="00000000">
        <w:rPr>
          <w:rFonts w:ascii="Google Sans Text" w:cs="Google Sans Text" w:eastAsia="Google Sans Text" w:hAnsi="Google Sans Text"/>
          <w:color w:val="1f1f1f"/>
          <w:rtl w:val="0"/>
        </w:rPr>
        <w:t xml:space="preserve"> Dokument zbiorczy, który grupuje wszystkie Observations związane z danym zleceniem. Stanowi prawny "wynik badania". Zawiera sekcję conclusion (wnioski) oraz status raportu (registered, partial, final, amended).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Provenance:</w:t>
      </w:r>
      <w:r w:rsidDel="00000000" w:rsidR="00000000" w:rsidRPr="00000000">
        <w:rPr>
          <w:rFonts w:ascii="Google Sans Text" w:cs="Google Sans Text" w:eastAsia="Google Sans Text" w:hAnsi="Google Sans Text"/>
          <w:color w:val="1f1f1f"/>
          <w:rtl w:val="0"/>
        </w:rPr>
        <w:t xml:space="preserve"> Zasób krytyczny dla audytowalności. Dokumentuje historię zmian i aktywności związanych z każdym innym zasobem (np. kto zatwierdził wynik, kiedy zmieniono status próbki). Umożliwia rekonstrukcję "łańcucha dowodowego".</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Architektura Technologiczna (Technology Layer)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technologiczna opisuje fizyczną i wirtualną infrastrukturę, na której posadowione są systemy aplikacyjne. Musi ona zapewniać wysoką dostępność (High Availability - HA) oraz bezpieczeństwo danych.</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Infrastruktura Węzłów i Urządzeń</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Węzły (Nodes):</w:t>
      </w:r>
    </w:p>
    <w:p w:rsidR="00000000" w:rsidDel="00000000" w:rsidP="00000000" w:rsidRDefault="00000000" w:rsidRPr="00000000" w14:paraId="000000A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Serwer LIMS (LIMS Server):</w:t>
      </w:r>
      <w:r w:rsidDel="00000000" w:rsidR="00000000" w:rsidRPr="00000000">
        <w:rPr>
          <w:rFonts w:ascii="Google Sans Text" w:cs="Google Sans Text" w:eastAsia="Google Sans Text" w:hAnsi="Google Sans Text"/>
          <w:color w:val="1f1f1f"/>
          <w:rtl w:val="0"/>
        </w:rPr>
        <w:t xml:space="preserve"> Centralny węzeł obliczeniowy, zazwyczaj klaster wirtualny (np. VMware) zapewniający redundancję. Obsługuje logikę biznesową i bazę danych.</w:t>
      </w:r>
    </w:p>
    <w:p w:rsidR="00000000" w:rsidDel="00000000" w:rsidP="00000000" w:rsidRDefault="00000000" w:rsidRPr="00000000" w14:paraId="000000A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Serwer Middleware / Edge Gateway:</w:t>
      </w:r>
      <w:r w:rsidDel="00000000" w:rsidR="00000000" w:rsidRPr="00000000">
        <w:rPr>
          <w:rFonts w:ascii="Google Sans Text" w:cs="Google Sans Text" w:eastAsia="Google Sans Text" w:hAnsi="Google Sans Text"/>
          <w:color w:val="1f1f1f"/>
          <w:rtl w:val="0"/>
        </w:rPr>
        <w:t xml:space="preserve"> Serwer (często fizyczny lub dedykowana maszyna wirtualna o niskiej latencji) zlokalizowany blisko urządzeń analitycznych. Pełni rolę bramy komunikacyjnej (Gateway), obsługując liczne połączenia RS-232/TCP-IP z analizatorami.</w:t>
      </w:r>
    </w:p>
    <w:p w:rsidR="00000000" w:rsidDel="00000000" w:rsidP="00000000" w:rsidRDefault="00000000" w:rsidRPr="00000000" w14:paraId="000000B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Stacje Robocze (Workstations):</w:t>
      </w:r>
      <w:r w:rsidDel="00000000" w:rsidR="00000000" w:rsidRPr="00000000">
        <w:rPr>
          <w:rFonts w:ascii="Google Sans Text" w:cs="Google Sans Text" w:eastAsia="Google Sans Text" w:hAnsi="Google Sans Text"/>
          <w:color w:val="1f1f1f"/>
          <w:rtl w:val="0"/>
        </w:rPr>
        <w:t xml:space="preserve"> Komputery PC dla personelu, wyposażone w czytniki kodów kreskowych.</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Urządzenia (Devices):</w:t>
      </w:r>
    </w:p>
    <w:p w:rsidR="00000000" w:rsidDel="00000000" w:rsidP="00000000" w:rsidRDefault="00000000" w:rsidRPr="00000000" w14:paraId="000000B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Analizatory Medyczne (Medical Analyzers):</w:t>
      </w:r>
      <w:r w:rsidDel="00000000" w:rsidR="00000000" w:rsidRPr="00000000">
        <w:rPr>
          <w:rFonts w:ascii="Google Sans Text" w:cs="Google Sans Text" w:eastAsia="Google Sans Text" w:hAnsi="Google Sans Text"/>
          <w:color w:val="1f1f1f"/>
          <w:rtl w:val="0"/>
        </w:rPr>
        <w:t xml:space="preserve"> Np. Roche Cobas 6000, Abbott Architect ci8200. Są to zaawansowane roboty analityczne wykonujące pomiary fizykochemiczne. Posiadają własne interfejsy komunikacyjne (często oparte na starszych standardach).</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Drukarki Kodów (Label Printers):</w:t>
      </w:r>
      <w:r w:rsidDel="00000000" w:rsidR="00000000" w:rsidRPr="00000000">
        <w:rPr>
          <w:rFonts w:ascii="Google Sans Text" w:cs="Google Sans Text" w:eastAsia="Google Sans Text" w:hAnsi="Google Sans Text"/>
          <w:color w:val="1f1f1f"/>
          <w:rtl w:val="0"/>
        </w:rPr>
        <w:t xml:space="preserve"> Specjalistyczne drukarki termotransferowe (np. Zebra) do generowania trwałych etykiet odpornych na chemikalia i niskie temperatury.</w:t>
      </w:r>
    </w:p>
    <w:p w:rsidR="00000000" w:rsidDel="00000000" w:rsidP="00000000" w:rsidRDefault="00000000" w:rsidRPr="00000000" w14:paraId="000000B4">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Skanery Kodów (Barcode Readers):</w:t>
      </w:r>
      <w:r w:rsidDel="00000000" w:rsidR="00000000" w:rsidRPr="00000000">
        <w:rPr>
          <w:rFonts w:ascii="Google Sans Text" w:cs="Google Sans Text" w:eastAsia="Google Sans Text" w:hAnsi="Google Sans Text"/>
          <w:color w:val="1f1f1f"/>
          <w:rtl w:val="0"/>
        </w:rPr>
        <w:t xml:space="preserve"> Ręczne i stacjonarne czytniki 1D/2D, niezbędne do szybkiej identyfikacji próbek.</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Oprogramowanie Systemowe i Relacje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wymaganiami zadania, model technologiczny uwzględnia specyficzne relacje między elementami infrastruktury a usługami.</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Relacja Sieciowa:</w:t>
      </w:r>
      <w:r w:rsidDel="00000000" w:rsidR="00000000" w:rsidRPr="00000000">
        <w:rPr>
          <w:rFonts w:ascii="Google Sans Text" w:cs="Google Sans Text" w:eastAsia="Google Sans Text" w:hAnsi="Google Sans Text"/>
          <w:color w:val="1f1f1f"/>
          <w:rtl w:val="0"/>
        </w:rPr>
        <w:t xml:space="preserve"> Sieć (LAN Laboratoryjny) -- </w:t>
      </w:r>
      <w:r w:rsidDel="00000000" w:rsidR="00000000" w:rsidRPr="00000000">
        <w:rPr>
          <w:rFonts w:ascii="Google Sans Text" w:cs="Google Sans Text" w:eastAsia="Google Sans Text" w:hAnsi="Google Sans Text"/>
          <w:i w:val="1"/>
          <w:iCs w:val="1"/>
          <w:color w:val="1f1f1f"/>
          <w:rtl w:val="0"/>
        </w:rPr>
        <w:t xml:space="preserve">Association</w:t>
      </w:r>
      <w:r w:rsidDel="00000000" w:rsidR="00000000" w:rsidRPr="00000000">
        <w:rPr>
          <w:rFonts w:ascii="Google Sans Text" w:cs="Google Sans Text" w:eastAsia="Google Sans Text" w:hAnsi="Google Sans Text"/>
          <w:color w:val="1f1f1f"/>
          <w:rtl w:val="0"/>
        </w:rPr>
        <w:t xml:space="preserve"> --&gt; Węzeł (Serwer LIMS). Sieć musi być segmentowana (VLAN), oddzielając ruch instrumentalny (OT) od ruchu biurowego i szpitalnego.</w:t>
      </w:r>
    </w:p>
    <w:p w:rsidR="00000000" w:rsidDel="00000000" w:rsidP="00000000" w:rsidRDefault="00000000" w:rsidRPr="00000000" w14:paraId="000000B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Integracja Urządzeń:</w:t>
      </w:r>
      <w:r w:rsidDel="00000000" w:rsidR="00000000" w:rsidRPr="00000000">
        <w:rPr>
          <w:rFonts w:ascii="Google Sans Text" w:cs="Google Sans Text" w:eastAsia="Google Sans Text" w:hAnsi="Google Sans Text"/>
          <w:color w:val="1f1f1f"/>
          <w:rtl w:val="0"/>
        </w:rPr>
        <w:t xml:space="preserve"> Urządzenie (Analizator biochemiczny) -- </w:t>
      </w:r>
      <w:r w:rsidDel="00000000" w:rsidR="00000000" w:rsidRPr="00000000">
        <w:rPr>
          <w:rFonts w:ascii="Google Sans Text" w:cs="Google Sans Text" w:eastAsia="Google Sans Text" w:hAnsi="Google Sans Text"/>
          <w:i w:val="1"/>
          <w:iCs w:val="1"/>
          <w:color w:val="1f1f1f"/>
          <w:rtl w:val="0"/>
        </w:rPr>
        <w:t xml:space="preserve">Assignment</w:t>
      </w:r>
      <w:r w:rsidDel="00000000" w:rsidR="00000000" w:rsidRPr="00000000">
        <w:rPr>
          <w:rFonts w:ascii="Google Sans Text" w:cs="Google Sans Text" w:eastAsia="Google Sans Text" w:hAnsi="Google Sans Text"/>
          <w:color w:val="1f1f1f"/>
          <w:rtl w:val="0"/>
        </w:rPr>
        <w:t xml:space="preserve"> --&gt; Węzeł (Instrument Gateway). Oznacza to logiczne przypisanie analizatora do konkretnego punktu wejścia w infrastrukturze IT.</w:t>
      </w:r>
    </w:p>
    <w:p w:rsidR="00000000" w:rsidDel="00000000" w:rsidP="00000000" w:rsidRDefault="00000000" w:rsidRPr="00000000" w14:paraId="000000B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Przechowywanie Danych:</w:t>
      </w:r>
      <w:r w:rsidDel="00000000" w:rsidR="00000000" w:rsidRPr="00000000">
        <w:rPr>
          <w:rFonts w:ascii="Google Sans Text" w:cs="Google Sans Text" w:eastAsia="Google Sans Text" w:hAnsi="Google Sans Text"/>
          <w:color w:val="1f1f1f"/>
          <w:rtl w:val="0"/>
        </w:rPr>
        <w:t xml:space="preserve"> Węzeł (Serwer LIMS) -- </w:t>
      </w:r>
      <w:r w:rsidDel="00000000" w:rsidR="00000000" w:rsidRPr="00000000">
        <w:rPr>
          <w:rFonts w:ascii="Google Sans Text" w:cs="Google Sans Text" w:eastAsia="Google Sans Text" w:hAnsi="Google Sans Text"/>
          <w:i w:val="1"/>
          <w:iCs w:val="1"/>
          <w:color w:val="1f1f1f"/>
          <w:rtl w:val="0"/>
        </w:rPr>
        <w:t xml:space="preserve">Assignment</w:t>
      </w:r>
      <w:r w:rsidDel="00000000" w:rsidR="00000000" w:rsidRPr="00000000">
        <w:rPr>
          <w:rFonts w:ascii="Google Sans Text" w:cs="Google Sans Text" w:eastAsia="Google Sans Text" w:hAnsi="Google Sans Text"/>
          <w:color w:val="1f1f1f"/>
          <w:rtl w:val="0"/>
        </w:rPr>
        <w:t xml:space="preserve"> --&gt; Artefakt (DiagnosticReport JSON) oraz Artefakt (Log audytowy). Fizyczny zapis plików i rekordów bazy danych na dyskach serwera.</w:t>
      </w:r>
    </w:p>
    <w:p w:rsidR="00000000" w:rsidDel="00000000" w:rsidP="00000000" w:rsidRDefault="00000000" w:rsidRPr="00000000" w14:paraId="000000B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Realizacja Usług:</w:t>
      </w:r>
    </w:p>
    <w:p w:rsidR="00000000" w:rsidDel="00000000" w:rsidP="00000000" w:rsidRDefault="00000000" w:rsidRPr="00000000" w14:paraId="000000BB">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Urządzenie (Analizator) -- </w:t>
      </w:r>
      <w:r w:rsidDel="00000000" w:rsidR="00000000" w:rsidRPr="00000000">
        <w:rPr>
          <w:rFonts w:ascii="Google Sans Text" w:cs="Google Sans Text" w:eastAsia="Google Sans Text" w:hAnsi="Google Sans Text"/>
          <w:i w:val="1"/>
          <w:iCs w:val="1"/>
          <w:color w:val="1f1f1f"/>
          <w:rtl w:val="0"/>
        </w:rPr>
        <w:t xml:space="preserve">Realization</w:t>
      </w:r>
      <w:r w:rsidDel="00000000" w:rsidR="00000000" w:rsidRPr="00000000">
        <w:rPr>
          <w:rFonts w:ascii="Google Sans Text" w:cs="Google Sans Text" w:eastAsia="Google Sans Text" w:hAnsi="Google Sans Text"/>
          <w:color w:val="1f1f1f"/>
          <w:rtl w:val="0"/>
        </w:rPr>
        <w:t xml:space="preserve"> --&gt; Usługa Technologiczna ("Instrument Data Ingest"). Fizyczne urządzenie realizuje abstrakcyjną usługę dostarczania surowych danych pomiarowych.</w:t>
      </w:r>
    </w:p>
    <w:p w:rsidR="00000000" w:rsidDel="00000000" w:rsidP="00000000" w:rsidRDefault="00000000" w:rsidRPr="00000000" w14:paraId="000000B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Oprogramowanie Systemowe (HL7 Broker/Mirth) -- </w:t>
      </w:r>
      <w:r w:rsidDel="00000000" w:rsidR="00000000" w:rsidRPr="00000000">
        <w:rPr>
          <w:rFonts w:ascii="Google Sans Text" w:cs="Google Sans Text" w:eastAsia="Google Sans Text" w:hAnsi="Google Sans Text"/>
          <w:i w:val="1"/>
          <w:iCs w:val="1"/>
          <w:color w:val="1f1f1f"/>
          <w:rtl w:val="0"/>
        </w:rPr>
        <w:t xml:space="preserve">Realization</w:t>
      </w:r>
      <w:r w:rsidDel="00000000" w:rsidR="00000000" w:rsidRPr="00000000">
        <w:rPr>
          <w:rFonts w:ascii="Google Sans Text" w:cs="Google Sans Text" w:eastAsia="Google Sans Text" w:hAnsi="Google Sans Text"/>
          <w:color w:val="1f1f1f"/>
          <w:rtl w:val="0"/>
        </w:rPr>
        <w:t xml:space="preserve"> --&gt; Usługa Technologiczna ("Secure Messaging HL7"). Oprogramowanie realizuje bezpieczny transport komunikatów.</w:t>
      </w:r>
    </w:p>
    <w:p w:rsidR="00000000" w:rsidDel="00000000" w:rsidP="00000000" w:rsidRDefault="00000000" w:rsidRPr="00000000" w14:paraId="000000BD">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Oprogramowanie Systemowe (DBMS - Baza Danych) -- </w:t>
      </w:r>
      <w:r w:rsidDel="00000000" w:rsidR="00000000" w:rsidRPr="00000000">
        <w:rPr>
          <w:rFonts w:ascii="Google Sans Text" w:cs="Google Sans Text" w:eastAsia="Google Sans Text" w:hAnsi="Google Sans Text"/>
          <w:i w:val="1"/>
          <w:iCs w:val="1"/>
          <w:color w:val="1f1f1f"/>
          <w:rtl w:val="0"/>
        </w:rPr>
        <w:t xml:space="preserve">Realization</w:t>
      </w:r>
      <w:r w:rsidDel="00000000" w:rsidR="00000000" w:rsidRPr="00000000">
        <w:rPr>
          <w:rFonts w:ascii="Google Sans Text" w:cs="Google Sans Text" w:eastAsia="Google Sans Text" w:hAnsi="Google Sans Text"/>
          <w:color w:val="1f1f1f"/>
          <w:rtl w:val="0"/>
        </w:rPr>
        <w:t xml:space="preserve"> --&gt; Usługa Technologiczna ("Audit Trail"). Silnik bazy danych zapewnia mechanizmy logowania transakcji niezbędne dla audytowalności.</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Warstwa Motywacji i Wymagań (Motivation &amp; Requirements)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 warstwa łączy cele biznesowe z rozwiązaniami technicznymi, odpowiadając na pytanie "dlaczego" dokonujemy zmian. Wykorzystuje elementy modelu motywacyjnego ArchiMate: Driver, Goal, Outcome, Requirement, Principle.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Drivery i Cele Strategiczne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Głównymi czynnikami sterującymi (Drivers) transformacji są:</w:t>
      </w:r>
    </w:p>
    <w:p w:rsidR="00000000" w:rsidDel="00000000" w:rsidP="00000000" w:rsidRDefault="00000000" w:rsidRPr="00000000" w14:paraId="000000C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Bezpieczeństwo Pacjenta i Jakość (Quality &amp; Safety):</w:t>
      </w:r>
      <w:r w:rsidDel="00000000" w:rsidR="00000000" w:rsidRPr="00000000">
        <w:rPr>
          <w:rFonts w:ascii="Google Sans Text" w:cs="Google Sans Text" w:eastAsia="Google Sans Text" w:hAnsi="Google Sans Text"/>
          <w:color w:val="1f1f1f"/>
          <w:rtl w:val="0"/>
        </w:rPr>
        <w:t xml:space="preserve"> Konieczność eliminacji błędów medycznych wynikających z pomyłek identyfikacyjnych lub błędnej transkrypcji wyników.</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Zgodność Regulacyjna (Compliance):</w:t>
      </w:r>
      <w:r w:rsidDel="00000000" w:rsidR="00000000" w:rsidRPr="00000000">
        <w:rPr>
          <w:rFonts w:ascii="Google Sans Text" w:cs="Google Sans Text" w:eastAsia="Google Sans Text" w:hAnsi="Google Sans Text"/>
          <w:color w:val="1f1f1f"/>
          <w:rtl w:val="0"/>
        </w:rPr>
        <w:t xml:space="preserve"> Wymogi normy ISO 15189:2022 oraz regulacje dotyczące ochrony danych (RODO).</w:t>
      </w:r>
    </w:p>
    <w:p w:rsidR="00000000" w:rsidDel="00000000" w:rsidP="00000000" w:rsidRDefault="00000000" w:rsidRPr="00000000" w14:paraId="000000C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Efektywność Operacyjna (Efficiency):</w:t>
      </w:r>
      <w:r w:rsidDel="00000000" w:rsidR="00000000" w:rsidRPr="00000000">
        <w:rPr>
          <w:rFonts w:ascii="Google Sans Text" w:cs="Google Sans Text" w:eastAsia="Google Sans Text" w:hAnsi="Google Sans Text"/>
          <w:color w:val="1f1f1f"/>
          <w:rtl w:val="0"/>
        </w:rPr>
        <w:t xml:space="preserve"> Presja na redukcję kosztów i skrócenie czasu obsługi (TAT) przy rosnącym wolumenie badań.</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Cele (Goals) wynikające z tych czynników:</w:t>
      </w:r>
    </w:p>
    <w:p w:rsidR="00000000" w:rsidDel="00000000" w:rsidP="00000000" w:rsidRDefault="00000000" w:rsidRPr="00000000" w14:paraId="000000C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 1:</w:t>
      </w:r>
      <w:r w:rsidDel="00000000" w:rsidR="00000000" w:rsidRPr="00000000">
        <w:rPr>
          <w:rFonts w:ascii="Google Sans Text" w:cs="Google Sans Text" w:eastAsia="Google Sans Text" w:hAnsi="Google Sans Text"/>
          <w:color w:val="1f1f1f"/>
          <w:rtl w:val="0"/>
        </w:rPr>
        <w:t xml:space="preserve"> Skrócić TAT o 25%.</w:t>
      </w:r>
    </w:p>
    <w:p w:rsidR="00000000" w:rsidDel="00000000" w:rsidP="00000000" w:rsidRDefault="00000000" w:rsidRPr="00000000" w14:paraId="000000C7">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Wymaganie:</w:t>
      </w:r>
      <w:r w:rsidDel="00000000" w:rsidR="00000000" w:rsidRPr="00000000">
        <w:rPr>
          <w:rFonts w:ascii="Google Sans Text" w:cs="Google Sans Text" w:eastAsia="Google Sans Text" w:hAnsi="Google Sans Text"/>
          <w:color w:val="1f1f1f"/>
          <w:rtl w:val="0"/>
        </w:rPr>
        <w:t xml:space="preserve"> System Middleware musi automatycznie przesyłać wyniki z analizatorów do LIMS w czasie &lt; 5 sekund od zakończenia analizy.</w:t>
      </w:r>
    </w:p>
    <w:p w:rsidR="00000000" w:rsidDel="00000000" w:rsidP="00000000" w:rsidRDefault="00000000" w:rsidRPr="00000000" w14:paraId="000000C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Wymaganie:</w:t>
      </w:r>
      <w:r w:rsidDel="00000000" w:rsidR="00000000" w:rsidRPr="00000000">
        <w:rPr>
          <w:rFonts w:ascii="Google Sans Text" w:cs="Google Sans Text" w:eastAsia="Google Sans Text" w:hAnsi="Google Sans Text"/>
          <w:color w:val="1f1f1f"/>
          <w:rtl w:val="0"/>
        </w:rPr>
        <w:t xml:space="preserve"> Moduł autoweryfikacji musi automatycznie zatwierdzać min. 80% rutynowych wyników biochemicznych bez udziału człowieka.</w:t>
      </w:r>
    </w:p>
    <w:p w:rsidR="00000000" w:rsidDel="00000000" w:rsidP="00000000" w:rsidRDefault="00000000" w:rsidRPr="00000000" w14:paraId="000000C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 2:</w:t>
      </w:r>
      <w:r w:rsidDel="00000000" w:rsidR="00000000" w:rsidRPr="00000000">
        <w:rPr>
          <w:rFonts w:ascii="Google Sans Text" w:cs="Google Sans Text" w:eastAsia="Google Sans Text" w:hAnsi="Google Sans Text"/>
          <w:color w:val="1f1f1f"/>
          <w:rtl w:val="0"/>
        </w:rPr>
        <w:t xml:space="preserve"> Zapewnić 100% integralności Chain-of-Custody.</w:t>
      </w:r>
    </w:p>
    <w:p w:rsidR="00000000" w:rsidDel="00000000" w:rsidP="00000000" w:rsidRDefault="00000000" w:rsidRPr="00000000" w14:paraId="000000C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Wymaganie:</w:t>
      </w:r>
      <w:r w:rsidDel="00000000" w:rsidR="00000000" w:rsidRPr="00000000">
        <w:rPr>
          <w:rFonts w:ascii="Google Sans Text" w:cs="Google Sans Text" w:eastAsia="Google Sans Text" w:hAnsi="Google Sans Text"/>
          <w:color w:val="1f1f1f"/>
          <w:rtl w:val="0"/>
        </w:rPr>
        <w:t xml:space="preserve"> System musi rejestrować każdą zmianę statusu próbki i wyniku wraz ze znacznikiem czasu i ID użytkownika w niezmienialnym logu (Audit Trail).</w:t>
      </w:r>
    </w:p>
    <w:p w:rsidR="00000000" w:rsidDel="00000000" w:rsidP="00000000" w:rsidRDefault="00000000" w:rsidRPr="00000000" w14:paraId="000000C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Wymaganie:</w:t>
      </w:r>
      <w:r w:rsidDel="00000000" w:rsidR="00000000" w:rsidRPr="00000000">
        <w:rPr>
          <w:rFonts w:ascii="Google Sans Text" w:cs="Google Sans Text" w:eastAsia="Google Sans Text" w:hAnsi="Google Sans Text"/>
          <w:color w:val="1f1f1f"/>
          <w:rtl w:val="0"/>
        </w:rPr>
        <w:t xml:space="preserve"> Każda próbka musi być identyfikowana unikalnym kodem kreskowym skanowanym na każdym etapie procesu.</w:t>
      </w:r>
    </w:p>
    <w:p w:rsidR="00000000" w:rsidDel="00000000" w:rsidP="00000000" w:rsidRDefault="00000000" w:rsidRPr="00000000" w14:paraId="000000C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 3:</w:t>
      </w:r>
      <w:r w:rsidDel="00000000" w:rsidR="00000000" w:rsidRPr="00000000">
        <w:rPr>
          <w:rFonts w:ascii="Google Sans Text" w:cs="Google Sans Text" w:eastAsia="Google Sans Text" w:hAnsi="Google Sans Text"/>
          <w:color w:val="1f1f1f"/>
          <w:rtl w:val="0"/>
        </w:rPr>
        <w:t xml:space="preserve"> Pełna interoperacyjność.</w:t>
      </w:r>
    </w:p>
    <w:p w:rsidR="00000000" w:rsidDel="00000000" w:rsidP="00000000" w:rsidRDefault="00000000" w:rsidRPr="00000000" w14:paraId="000000CD">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Pryncypium:</w:t>
      </w:r>
      <w:r w:rsidDel="00000000" w:rsidR="00000000" w:rsidRPr="00000000">
        <w:rPr>
          <w:rFonts w:ascii="Google Sans Text" w:cs="Google Sans Text" w:eastAsia="Google Sans Text" w:hAnsi="Google Sans Text"/>
          <w:color w:val="1f1f1f"/>
          <w:rtl w:val="0"/>
        </w:rPr>
        <w:t xml:space="preserve"> "Standardowe Interfejsy". Wszelka wymiana danych z systemami zewnętrznymi musi odbywać się poprzez standard HL7 FHIR (preferowany) lub HL7 v2.5+, unikając rozwiązań </w:t>
      </w:r>
      <w:r w:rsidDel="00000000" w:rsidR="00000000" w:rsidRPr="00000000">
        <w:rPr>
          <w:rFonts w:ascii="Google Sans Text" w:cs="Google Sans Text" w:eastAsia="Google Sans Text" w:hAnsi="Google Sans Text"/>
          <w:i w:val="1"/>
          <w:iCs w:val="1"/>
          <w:color w:val="1f1f1f"/>
          <w:rtl w:val="0"/>
        </w:rPr>
        <w:t xml:space="preserve">proprietary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Analiza Luk (Gap Analysis)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Porównanie stanu obecnego (AS-IS) z docelowym (TO-BE) ujawnia luki, które muszą zostać wypełnione przez projekt.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Tabela 2. Analiza Luk i Działania Naprawcze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 Obecny (AS-IS)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 Docelowy (TO-BE)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Luka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Akcja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Integracja Instrumentów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Częściowa, wiele analizatorów "offline" (wyniki z wydruków), transfer jednokierunkowy (tylko wyniki do LIMS).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Pełna, dwukierunkowa integracja (Bi-directional). Host Query (pobieranie zleceń przez analizator).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automatyzacji dla 40% urządzeń. Brak automatycznego programowania analizatorów.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Wdrożenie Middleware klasy Enterprise (np. Instrument Manager). Instalacja sterowników do wszystkich urządzeń.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Standardy Danych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Lokalne, niestandardowe kody testów. Raporty w formacie PDF lub tekstowym. Brak semantyki.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HL7 FHIR. Mapowanie na LOINC (testy) i SNOMED CT (wyniki, materiał).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interoperacyjności semantycznej. "Silosy danych".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Wdrożenie serwera terminologicznego. Mapowanie słowników lokalnych na standardy międzynarodowe.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Chain-of-Custody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Papierowe książki pracy, szczątkowe logi systemowe. Trudność w odtworzeniu historii próbki.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Elektroniczny CoC, zasób FHIR Provenance. Pełna cyfrowa historia od pobrania do utylizacji.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ciągłego cyfrowego śladu próbki. Ryzyko braku zgodności z ISO 15189.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Implementacja modułu "Specimen Tracking" i "Audit Trail" w LIMS i Middleware.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Raportowanie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Wydruki papierowe, wysyłka kurierem/pocztą. Opóźnienia w dostarczeniu wyniku.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Elektroniczna wysyłka w czasie rzeczywistym do EMR/EHR (Push). Dostęp przez Portal WWW (Pull).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Opóźnienie post-analityczne (wynik gotowy, ale niedostarczony).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Uruchomienie interfejsu wyjściowego HL7 FHIR REST API.</w:t>
            </w:r>
          </w:p>
        </w:tc>
      </w:tr>
    </w:tbl>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Analiza Luk i Plan Migracji (Gap Analysis &amp; Migration)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Transformacja cyfrowa laboratorium to proces złożony, niosący ryzyko zakłócenia ciągłości pracy. Dlatego przyjęto strategię ewolucyjną, podzieloną na pakiety robocze (Work Packages).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Plan Migracji (Migration Plan)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Plan został podzielony na cztery główne etapy, realizowane w ciągu 10 miesięcy.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Etap 1: Fundamenty Infrastruktury i Middleware (Miesiące 1-3)</w:t>
      </w:r>
    </w:p>
    <w:p w:rsidR="00000000" w:rsidDel="00000000" w:rsidP="00000000" w:rsidRDefault="00000000" w:rsidRPr="00000000" w14:paraId="000000E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Przygotowanie środowiska pod pełną integrację.</w:t>
      </w:r>
    </w:p>
    <w:p w:rsidR="00000000" w:rsidDel="00000000" w:rsidP="00000000" w:rsidRDefault="00000000" w:rsidRPr="00000000" w14:paraId="000000F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Zadania:</w:t>
      </w:r>
    </w:p>
    <w:p w:rsidR="00000000" w:rsidDel="00000000" w:rsidP="00000000" w:rsidRDefault="00000000" w:rsidRPr="00000000" w14:paraId="000000F1">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Instalacja i konfiguracja klastra serwerów LIMS (HA) oraz serwera Middleware.</w:t>
      </w:r>
    </w:p>
    <w:p w:rsidR="00000000" w:rsidDel="00000000" w:rsidP="00000000" w:rsidRDefault="00000000" w:rsidRPr="00000000" w14:paraId="000000F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Budowa dedykowanej sieci LAN dla instrumentów (VLAN laboratoryjny) z kontrolą dostępu.</w:t>
      </w:r>
    </w:p>
    <w:p w:rsidR="00000000" w:rsidDel="00000000" w:rsidP="00000000" w:rsidRDefault="00000000" w:rsidRPr="00000000" w14:paraId="000000F3">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Pilotażowe podłączenie kluczowych, wysokowolumenowych analizatorów (Chemia kliniczna, Hematologia) do Middleware. To zapewni tzw. "Quick Win" – szybki efekt w postaci redukcji pracy ręcznej.</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Etap 2: Modernizacja LIMS i Standardyzacja (Miesiące 4-6)</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Dostosowanie LIMS do nowych procesów i standardów.</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Zadania:</w:t>
      </w:r>
    </w:p>
    <w:p w:rsidR="00000000" w:rsidDel="00000000" w:rsidP="00000000" w:rsidRDefault="00000000" w:rsidRPr="00000000" w14:paraId="000000F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Aktualizacja LIMS do wersji obsługującej HL7 FHIR i zaawansowane śledzenie próbek.</w:t>
      </w:r>
    </w:p>
    <w:p w:rsidR="00000000" w:rsidDel="00000000" w:rsidP="00000000" w:rsidRDefault="00000000" w:rsidRPr="00000000" w14:paraId="000000F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Intensywne prace nad słownikami: mapowanie kodów lokalnych na LOINC/SNOMED CT.</w:t>
      </w:r>
    </w:p>
    <w:p w:rsidR="00000000" w:rsidDel="00000000" w:rsidP="00000000" w:rsidRDefault="00000000" w:rsidRPr="00000000" w14:paraId="000000F9">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Konfiguracja reguł autoweryfikacji w Middleware (ustalenie zakresów, reguł Delta Check).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Etap 3: Integracja FHIR i Chain-of-Custody (Miesiące 7-9)</w:t>
      </w:r>
    </w:p>
    <w:p w:rsidR="00000000" w:rsidDel="00000000" w:rsidP="00000000" w:rsidRDefault="00000000" w:rsidRPr="00000000" w14:paraId="000000FB">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Uruchomienie interoperacyjności i pełnego śledzenia.</w:t>
      </w:r>
    </w:p>
    <w:p w:rsidR="00000000" w:rsidDel="00000000" w:rsidP="00000000" w:rsidRDefault="00000000" w:rsidRPr="00000000" w14:paraId="000000F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Zadania:</w:t>
      </w:r>
    </w:p>
    <w:p w:rsidR="00000000" w:rsidDel="00000000" w:rsidP="00000000" w:rsidRDefault="00000000" w:rsidRPr="00000000" w14:paraId="000000FD">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Implementacja interfejsu HL7 FHIR dla systemów zewnętrznych (EMR szpitalny).</w:t>
      </w:r>
    </w:p>
    <w:p w:rsidR="00000000" w:rsidDel="00000000" w:rsidP="00000000" w:rsidRDefault="00000000" w:rsidRPr="00000000" w14:paraId="000000F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Wdrożenie procedur skanowania kodów kreskowych na każdym etapie procesu (punkty kontrolne CoC).</w:t>
      </w:r>
    </w:p>
    <w:p w:rsidR="00000000" w:rsidDel="00000000" w:rsidP="00000000" w:rsidRDefault="00000000" w:rsidRPr="00000000" w14:paraId="000000FF">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Uruchomienie i konfiguracja modułu Audit Trail.</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Etap 4: Walidacja, Szkolenia i Go-Live (Miesiąc 10)</w:t>
      </w:r>
    </w:p>
    <w:p w:rsidR="00000000" w:rsidDel="00000000" w:rsidP="00000000" w:rsidRDefault="00000000" w:rsidRPr="00000000" w14:paraId="0000010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Bezpieczne uruchomienie systemu.</w:t>
      </w:r>
    </w:p>
    <w:p w:rsidR="00000000" w:rsidDel="00000000" w:rsidP="00000000" w:rsidRDefault="00000000" w:rsidRPr="00000000" w14:paraId="0000010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Zadania:</w:t>
      </w:r>
    </w:p>
    <w:p w:rsidR="00000000" w:rsidDel="00000000" w:rsidP="00000000" w:rsidRDefault="00000000" w:rsidRPr="00000000" w14:paraId="00000103">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Walidacja systemu zgodnie z wymaganiami ISO 15189 i GAMP 5 (IQ/OQ/PQ).</w:t>
      </w:r>
    </w:p>
    <w:p w:rsidR="00000000" w:rsidDel="00000000" w:rsidP="00000000" w:rsidRDefault="00000000" w:rsidRPr="00000000" w14:paraId="00000104">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Szkolenia stanowiskowe personelu (technicy, diagności, recepcja).</w:t>
      </w:r>
    </w:p>
    <w:p w:rsidR="00000000" w:rsidDel="00000000" w:rsidP="00000000" w:rsidRDefault="00000000" w:rsidRPr="00000000" w14:paraId="00000105">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Pełne uruchomienie produkcyjne (Go-Live) i okres stabilizacji (Hypercare).</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Mapa Wpływu Zmiany (Change Impact Map)</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Diagram wpływu zmiany (Change Impact Map), który należy opracować w narzędziu ArchiMate, wizualizuje łańcuch przyczynowo-skutkowy: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Cel Biznesowy (Skrócić TAT / Zwiększyć Bezpieczeństwo) -&gt; Wymaganie (Automatyzacja, Standardy) -&gt; Produkt Projektowy (Middleware, Interfejs FHIR) -&gt; Usługa Aplikacyjna (Instrument Interface, Data Exchange) -&gt; Proces Biznesowy (Analiza, Raportowanie) -&gt; Zasoby Technologiczne (Serwery, Analizatory).</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Mapa ta uzasadnia inwestycje technologiczne, pokazując ich bezpośredni wpływ na realizację celów strategicznych organizacji.</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Metryki, Ryzyka i Zgodność</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Metryki Sukcesu (KPIs)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Monitorowanie postępów i efektów wdrożenia opiera się na zestawie precyzyjnych wskaźników:</w:t>
      </w:r>
    </w:p>
    <w:p w:rsidR="00000000" w:rsidDel="00000000" w:rsidP="00000000" w:rsidRDefault="00000000" w:rsidRPr="00000000" w14:paraId="0000010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TAT (Turnaround Time):</w:t>
      </w:r>
      <w:r w:rsidDel="00000000" w:rsidR="00000000" w:rsidRPr="00000000">
        <w:rPr>
          <w:rFonts w:ascii="Google Sans Text" w:cs="Google Sans Text" w:eastAsia="Google Sans Text" w:hAnsi="Google Sans Text"/>
          <w:color w:val="1f1f1f"/>
          <w:rtl w:val="0"/>
        </w:rPr>
        <w:t xml:space="preserve"> Średni czas od przyjęcia próbki (Scan In) do autoryzacji wyniku (Verification). Mierzony oddzielnie dla trybu CITO (Cel: &lt; 60 min) i Rutynowego (Cel: &lt; 4h).</w:t>
      </w:r>
    </w:p>
    <w:p w:rsidR="00000000" w:rsidDel="00000000" w:rsidP="00000000" w:rsidRDefault="00000000" w:rsidRPr="00000000" w14:paraId="0000010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Wskaźnik Błędów Identyfikacji:</w:t>
      </w:r>
      <w:r w:rsidDel="00000000" w:rsidR="00000000" w:rsidRPr="00000000">
        <w:rPr>
          <w:rFonts w:ascii="Google Sans Text" w:cs="Google Sans Text" w:eastAsia="Google Sans Text" w:hAnsi="Google Sans Text"/>
          <w:color w:val="1f1f1f"/>
          <w:rtl w:val="0"/>
        </w:rPr>
        <w:t xml:space="preserve"> Liczba incydentów związanych z błędną identyfikacją pacjenta lub próbki na 1000 zleceń. Cel: dążenie do zera.</w:t>
      </w:r>
    </w:p>
    <w:p w:rsidR="00000000" w:rsidDel="00000000" w:rsidP="00000000" w:rsidRDefault="00000000" w:rsidRPr="00000000" w14:paraId="0000010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Wskaźnik Autoweryfikacji (Auto-verification Rate):</w:t>
      </w:r>
      <w:r w:rsidDel="00000000" w:rsidR="00000000" w:rsidRPr="00000000">
        <w:rPr>
          <w:rFonts w:ascii="Google Sans Text" w:cs="Google Sans Text" w:eastAsia="Google Sans Text" w:hAnsi="Google Sans Text"/>
          <w:color w:val="1f1f1f"/>
          <w:rtl w:val="0"/>
        </w:rPr>
        <w:t xml:space="preserve"> Procent wyników zatwierdzonych automatycznie przez Middleware bez udziału człowieka. Cel: &gt; 80% dla chemii klinicznej i hematologii.</w:t>
      </w:r>
    </w:p>
    <w:p w:rsidR="00000000" w:rsidDel="00000000" w:rsidP="00000000" w:rsidRDefault="00000000" w:rsidRPr="00000000" w14:paraId="00000110">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Odsetek Powtórek (Rerun Rate):</w:t>
      </w:r>
      <w:r w:rsidDel="00000000" w:rsidR="00000000" w:rsidRPr="00000000">
        <w:rPr>
          <w:rFonts w:ascii="Google Sans Text" w:cs="Google Sans Text" w:eastAsia="Google Sans Text" w:hAnsi="Google Sans Text"/>
          <w:color w:val="1f1f1f"/>
          <w:rtl w:val="0"/>
        </w:rPr>
        <w:t xml:space="preserve"> Ilość badań powtarzanych z powodu problemów technicznych lub wątpliwych wyników.</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Zarządzanie Ryzykiem</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Projekt wiąże się z ryzykami, które zostały zidentyfikowane i dla których opracowano plany mitygacji:</w:t>
      </w:r>
    </w:p>
    <w:p w:rsidR="00000000" w:rsidDel="00000000" w:rsidP="00000000" w:rsidRDefault="00000000" w:rsidRPr="00000000" w14:paraId="0000011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Ryzyko:</w:t>
      </w:r>
      <w:r w:rsidDel="00000000" w:rsidR="00000000" w:rsidRPr="00000000">
        <w:rPr>
          <w:rFonts w:ascii="Google Sans Text" w:cs="Google Sans Text" w:eastAsia="Google Sans Text" w:hAnsi="Google Sans Text"/>
          <w:color w:val="1f1f1f"/>
          <w:rtl w:val="0"/>
        </w:rPr>
        <w:t xml:space="preserve"> Błędy w mapowaniu kodów LOINC (Semantic Interoperability Risk). Nieprawidłowe przypisanie kodu może skutkować błędną interpretacją wyniku przez lekarza.</w:t>
      </w:r>
    </w:p>
    <w:p w:rsidR="00000000" w:rsidDel="00000000" w:rsidP="00000000" w:rsidRDefault="00000000" w:rsidRPr="00000000" w14:paraId="00000114">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Mitigacja:</w:t>
      </w:r>
      <w:r w:rsidDel="00000000" w:rsidR="00000000" w:rsidRPr="00000000">
        <w:rPr>
          <w:rFonts w:ascii="Google Sans Text" w:cs="Google Sans Text" w:eastAsia="Google Sans Text" w:hAnsi="Google Sans Text"/>
          <w:color w:val="1f1f1f"/>
          <w:rtl w:val="0"/>
        </w:rPr>
        <w:t xml:space="preserve"> Wieloetapowa walidacja mapowań przez zespół ekspertów (diagnosta + informatyk), testy integracyjne z systemami odbiorczymi, użycie certyfikowanych narzędzi walidacyjnych.</w:t>
      </w:r>
    </w:p>
    <w:p w:rsidR="00000000" w:rsidDel="00000000" w:rsidP="00000000" w:rsidRDefault="00000000" w:rsidRPr="00000000" w14:paraId="0000011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Ryzyko:</w:t>
      </w:r>
      <w:r w:rsidDel="00000000" w:rsidR="00000000" w:rsidRPr="00000000">
        <w:rPr>
          <w:rFonts w:ascii="Google Sans Text" w:cs="Google Sans Text" w:eastAsia="Google Sans Text" w:hAnsi="Google Sans Text"/>
          <w:color w:val="1f1f1f"/>
          <w:rtl w:val="0"/>
        </w:rPr>
        <w:t xml:space="preserve"> Awaria Middleware (Single Point of Failure). Zatrzyma to automatyczny przepływ wyników z całej pracowni.</w:t>
      </w:r>
    </w:p>
    <w:p w:rsidR="00000000" w:rsidDel="00000000" w:rsidP="00000000" w:rsidRDefault="00000000" w:rsidRPr="00000000" w14:paraId="00000116">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Mitigacja:</w:t>
      </w:r>
      <w:r w:rsidDel="00000000" w:rsidR="00000000" w:rsidRPr="00000000">
        <w:rPr>
          <w:rFonts w:ascii="Google Sans Text" w:cs="Google Sans Text" w:eastAsia="Google Sans Text" w:hAnsi="Google Sans Text"/>
          <w:color w:val="1f1f1f"/>
          <w:rtl w:val="0"/>
        </w:rPr>
        <w:t xml:space="preserve"> Zastosowanie architektury High Availability (klaster aktywny-pasywny lub aktywny-aktywny) dla serwera Middleware. Lokalne buforowanie danych na analizatorach (do czasu przywrócenia połączenia).</w:t>
      </w:r>
    </w:p>
    <w:p w:rsidR="00000000" w:rsidDel="00000000" w:rsidP="00000000" w:rsidRDefault="00000000" w:rsidRPr="00000000" w14:paraId="0000011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Ryzyko:</w:t>
      </w:r>
      <w:r w:rsidDel="00000000" w:rsidR="00000000" w:rsidRPr="00000000">
        <w:rPr>
          <w:rFonts w:ascii="Google Sans Text" w:cs="Google Sans Text" w:eastAsia="Google Sans Text" w:hAnsi="Google Sans Text"/>
          <w:color w:val="1f1f1f"/>
          <w:rtl w:val="0"/>
        </w:rPr>
        <w:t xml:space="preserve"> Cyberbezpieczeństwo (Atak na infrastrukturę OT). Analizatory często pracują na starszych systemach operacyjnych, podatnych na ataki.</w:t>
      </w:r>
    </w:p>
    <w:p w:rsidR="00000000" w:rsidDel="00000000" w:rsidP="00000000" w:rsidRDefault="00000000" w:rsidRPr="00000000" w14:paraId="00000118">
      <w:pPr>
        <w:numPr>
          <w:ilvl w:val="1"/>
          <w:numId w:val="3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Mitigacja:</w:t>
      </w:r>
      <w:r w:rsidDel="00000000" w:rsidR="00000000" w:rsidRPr="00000000">
        <w:rPr>
          <w:rFonts w:ascii="Google Sans Text" w:cs="Google Sans Text" w:eastAsia="Google Sans Text" w:hAnsi="Google Sans Text"/>
          <w:color w:val="1f1f1f"/>
          <w:rtl w:val="0"/>
        </w:rPr>
        <w:t xml:space="preserve"> Ścisła separacja sieciowa (VLAN, Firewall), brak bezpośredniego dostępu analizatorów do Internetu, kontrola dostępu do portów fizycznych (NAC).</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Zgodność Regulacyjna (Compliance)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Projektowana architektura zapewnia zgodność z kluczowymi regulacjami:</w:t>
      </w:r>
    </w:p>
    <w:p w:rsidR="00000000" w:rsidDel="00000000" w:rsidP="00000000" w:rsidRDefault="00000000" w:rsidRPr="00000000" w14:paraId="0000011B">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 15189:2022:</w:t>
      </w:r>
      <w:r w:rsidDel="00000000" w:rsidR="00000000" w:rsidRPr="00000000">
        <w:rPr>
          <w:rFonts w:ascii="Google Sans Text" w:cs="Google Sans Text" w:eastAsia="Google Sans Text" w:hAnsi="Google Sans Text"/>
          <w:color w:val="1f1f1f"/>
          <w:rtl w:val="0"/>
        </w:rPr>
        <w:t xml:space="preserve"> System spełnia wymagania klauzuli 7.6 dotyczącej zarządzania systemami informatycznymi, w tym walidacji oprogramowania, ochrony przed nieuprawnionym dostępem i zapewnienia integralności danych. Moduł Audit Trail realizuje wymogi dotyczące identyfikowalności działań.</w:t>
      </w:r>
    </w:p>
    <w:p w:rsidR="00000000" w:rsidDel="00000000" w:rsidP="00000000" w:rsidRDefault="00000000" w:rsidRPr="00000000" w14:paraId="0000011C">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RODO (GDPR):</w:t>
      </w:r>
      <w:r w:rsidDel="00000000" w:rsidR="00000000" w:rsidRPr="00000000">
        <w:rPr>
          <w:rFonts w:ascii="Google Sans Text" w:cs="Google Sans Text" w:eastAsia="Google Sans Text" w:hAnsi="Google Sans Text"/>
          <w:color w:val="1f1f1f"/>
          <w:rtl w:val="0"/>
        </w:rPr>
        <w:t xml:space="preserve"> Systemy LIMS i Middleware realizują zasady Privacy by Design (szyfrowanie danych, minimalizacja dostępu), umożliwiają anonimizację danych oraz rejestrują każdy dostęp do danych osobowych pacjenta (Access Log).</w:t>
      </w:r>
    </w:p>
    <w:p w:rsidR="00000000" w:rsidDel="00000000" w:rsidP="00000000" w:rsidRDefault="00000000" w:rsidRPr="00000000" w14:paraId="0000011D">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FDA 21 CFR Part 11:</w:t>
      </w:r>
      <w:r w:rsidDel="00000000" w:rsidR="00000000" w:rsidRPr="00000000">
        <w:rPr>
          <w:rFonts w:ascii="Google Sans Text" w:cs="Google Sans Text" w:eastAsia="Google Sans Text" w:hAnsi="Google Sans Text"/>
          <w:color w:val="1f1f1f"/>
          <w:rtl w:val="0"/>
        </w:rPr>
        <w:t xml:space="preserve"> Chociaż jest to regulacja amerykańska, stanowi ona "Złoty Standard" dla systemów elektronicznych w ochronie zdrowia. Wdrożenie podpisów elektronicznych i niezmienialnych logów audytowych (Audit Trails) zapewnia, że zapisy cyfrowe są traktowane na równi z dokumentacją papierową.</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Podsumowanie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Przedstawiony raport architektury korporacyjnej dla "Zadania 3: Laboratorium analizy medycznej" definiuje kompleksowy plan transformacji, który przekształca tradycyjne laboratorium w nowoczesną, cyfrową jednostkę diagnostyczną. Integracja LIMS ze środowiskiem analitycznym poprzez zaawansowany Middleware oraz wdrożenie standardów interoperacyjności HL7 FHIR i terminologii LOINC/SNOMED CT stanowi fundament dla osiągnięcia strategicznych celów: skrócenia czasu TAT o 25% i zapewnienia 100% integralności łańcucha nadzoru (Chain-of-Custody).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Kluczem do sukcesu tego przedsięwzięcia jest holistyczne podejście, łączące innowacje technologiczne z głęboką optymalizacją procesów biznesowych (BPMN). Zapewnienie pełnej identyfikowalności próbki i automatyzacji przepływu danych nie tylko podnosi efektywność operacyjną, ale przede wszystkim zwiększa bezpieczeństwo pacjenta, co jest nadrzędną wartością w medycynie laboratoryjnej. Zaproponowana architektura jest rozwiązaniem skalowalnym, bezpiecznym i zgodnym z najnowszymi wytycznymi akredytacyjnymi (ISO 15189:2022), przygotowującym organizację na przyszłe wyzwania zintegrowanej opieki zdrowotnej.</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12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 Integration Guide - Association of Public Health Laboratories, otwierano: stycznia 16, 2026, </w:t>
      </w:r>
      <w:hyperlink r:id="rId6">
        <w:r w:rsidDel="00000000" w:rsidR="00000000" w:rsidRPr="00000000">
          <w:rPr>
            <w:rFonts w:ascii="Google Sans" w:cs="Google Sans" w:eastAsia="Google Sans" w:hAnsi="Google Sans"/>
            <w:color w:val="0000ee"/>
            <w:sz w:val="24"/>
            <w:szCs w:val="24"/>
            <w:u w:val="single"/>
            <w:rtl w:val="0"/>
          </w:rPr>
          <w:t xml:space="preserve">https://www.aphl.org/aboutAPHL/publications/Documents/GH-LIS-Integration-Guide.pdf</w:t>
        </w:r>
      </w:hyperlink>
      <w:r w:rsidDel="00000000" w:rsidR="00000000" w:rsidRPr="00000000">
        <w:rPr>
          <w:rtl w:val="0"/>
        </w:rPr>
      </w:r>
    </w:p>
    <w:p w:rsidR="00000000" w:rsidDel="00000000" w:rsidP="00000000" w:rsidRDefault="00000000" w:rsidRPr="00000000" w14:paraId="0000012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of a laboratory and hospital information system in a medical laboratory accredited according to ISO 15189 - PMC - NIH, otwierano: stycznia 16,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https://pmc.ncbi.nlm.nih.gov/articles/PMC4062323/</w:t>
        </w:r>
      </w:hyperlink>
      <w:r w:rsidDel="00000000" w:rsidR="00000000" w:rsidRPr="00000000">
        <w:rPr>
          <w:rtl w:val="0"/>
        </w:rPr>
      </w:r>
    </w:p>
    <w:p w:rsidR="00000000" w:rsidDel="00000000" w:rsidP="00000000" w:rsidRDefault="00000000" w:rsidRPr="00000000" w14:paraId="0000012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ROCHE Cobas 6000 - Host Interface Manual (v1.1) | PDF | Spectrophotometry - Scribd, otwierano: stycznia 16, 2026, </w:t>
      </w:r>
      <w:hyperlink r:id="rId8">
        <w:r w:rsidDel="00000000" w:rsidR="00000000" w:rsidRPr="00000000">
          <w:rPr>
            <w:rFonts w:ascii="Google Sans" w:cs="Google Sans" w:eastAsia="Google Sans" w:hAnsi="Google Sans"/>
            <w:color w:val="0000ee"/>
            <w:sz w:val="24"/>
            <w:szCs w:val="24"/>
            <w:u w:val="single"/>
            <w:rtl w:val="0"/>
          </w:rPr>
          <w:t xml:space="preserve">https://www.scribd.com/doc/238280628/ROCHE-Cobas-6000-Host-Interface-Manual-v1-1</w:t>
        </w:r>
      </w:hyperlink>
      <w:r w:rsidDel="00000000" w:rsidR="00000000" w:rsidRPr="00000000">
        <w:rPr>
          <w:rtl w:val="0"/>
        </w:rPr>
      </w:r>
    </w:p>
    <w:p w:rsidR="00000000" w:rsidDel="00000000" w:rsidP="00000000" w:rsidRDefault="00000000" w:rsidRPr="00000000" w14:paraId="0000012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Afinion 2 – ASTM Connectivity Protocol, otwierano: stycznia 16, 2026, </w:t>
      </w:r>
      <w:hyperlink r:id="rId9">
        <w:r w:rsidDel="00000000" w:rsidR="00000000" w:rsidRPr="00000000">
          <w:rPr>
            <w:rFonts w:ascii="Google Sans" w:cs="Google Sans" w:eastAsia="Google Sans" w:hAnsi="Google Sans"/>
            <w:color w:val="0000ee"/>
            <w:sz w:val="24"/>
            <w:szCs w:val="24"/>
            <w:u w:val="single"/>
            <w:rtl w:val="0"/>
          </w:rPr>
          <w:t xml:space="preserve">https://ensur.invmed.com/ensur/contentAction.aspx?key=ensur.408925.S2R4E4A3.20171030.4538.4160343</w:t>
        </w:r>
      </w:hyperlink>
      <w:r w:rsidDel="00000000" w:rsidR="00000000" w:rsidRPr="00000000">
        <w:rPr>
          <w:rtl w:val="0"/>
        </w:rPr>
      </w:r>
    </w:p>
    <w:p w:rsidR="00000000" w:rsidDel="00000000" w:rsidP="00000000" w:rsidRDefault="00000000" w:rsidRPr="00000000" w14:paraId="0000012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ISO15189:2012 - 5.10.3 | Laboratory Quality Stepwise Implementation tool, otwierano: stycznia 16, 2026, </w:t>
      </w:r>
      <w:hyperlink r:id="rId10">
        <w:r w:rsidDel="00000000" w:rsidR="00000000" w:rsidRPr="00000000">
          <w:rPr>
            <w:rFonts w:ascii="Google Sans" w:cs="Google Sans" w:eastAsia="Google Sans" w:hAnsi="Google Sans"/>
            <w:color w:val="0000ee"/>
            <w:sz w:val="24"/>
            <w:szCs w:val="24"/>
            <w:u w:val="single"/>
            <w:rtl w:val="0"/>
          </w:rPr>
          <w:t xml:space="preserve">https://extranet.who.int/lqsi/iso15189_2012/5.10.3</w:t>
        </w:r>
      </w:hyperlink>
      <w:r w:rsidDel="00000000" w:rsidR="00000000" w:rsidRPr="00000000">
        <w:rPr>
          <w:rtl w:val="0"/>
        </w:rPr>
      </w:r>
    </w:p>
    <w:p w:rsidR="00000000" w:rsidDel="00000000" w:rsidP="00000000" w:rsidRDefault="00000000" w:rsidRPr="00000000" w14:paraId="0000012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ISO/FDIS 15189 - NATA, otwierano: stycznia 16, 2026, </w:t>
      </w:r>
      <w:hyperlink r:id="rId11">
        <w:r w:rsidDel="00000000" w:rsidR="00000000" w:rsidRPr="00000000">
          <w:rPr>
            <w:rFonts w:ascii="Google Sans" w:cs="Google Sans" w:eastAsia="Google Sans" w:hAnsi="Google Sans"/>
            <w:color w:val="0000ee"/>
            <w:sz w:val="24"/>
            <w:szCs w:val="24"/>
            <w:u w:val="single"/>
            <w:rtl w:val="0"/>
          </w:rPr>
          <w:t xml:space="preserve">https://nata.com.au/files/2022/09/ISO_FDIS_15189_E.pdf</w:t>
        </w:r>
      </w:hyperlink>
      <w:r w:rsidDel="00000000" w:rsidR="00000000" w:rsidRPr="00000000">
        <w:rPr>
          <w:rtl w:val="0"/>
        </w:rPr>
      </w:r>
    </w:p>
    <w:p w:rsidR="00000000" w:rsidDel="00000000" w:rsidP="00000000" w:rsidRDefault="00000000" w:rsidRPr="00000000" w14:paraId="0000012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the Dots: Improving Patient Outcomes Through LIMS Integration, otwierano: stycznia 16, 2026, </w:t>
      </w:r>
      <w:hyperlink r:id="rId12">
        <w:r w:rsidDel="00000000" w:rsidR="00000000" w:rsidRPr="00000000">
          <w:rPr>
            <w:rFonts w:ascii="Google Sans" w:cs="Google Sans" w:eastAsia="Google Sans" w:hAnsi="Google Sans"/>
            <w:color w:val="0000ee"/>
            <w:sz w:val="24"/>
            <w:szCs w:val="24"/>
            <w:u w:val="single"/>
            <w:rtl w:val="0"/>
          </w:rPr>
          <w:t xml:space="preserve">https://blog.creliohealth.com/connecting-the-dots-improving-patient-outcomes-through-lims-integration/</w:t>
        </w:r>
      </w:hyperlink>
      <w:r w:rsidDel="00000000" w:rsidR="00000000" w:rsidRPr="00000000">
        <w:rPr>
          <w:rtl w:val="0"/>
        </w:rPr>
      </w:r>
    </w:p>
    <w:p w:rsidR="00000000" w:rsidDel="00000000" w:rsidP="00000000" w:rsidRDefault="00000000" w:rsidRPr="00000000" w14:paraId="0000012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Streamlining Healthcare Data Exchange with HL7 Interface Engines - IT Path Solutions, otwierano: stycznia 16, 2026, </w:t>
      </w:r>
      <w:hyperlink r:id="rId13">
        <w:r w:rsidDel="00000000" w:rsidR="00000000" w:rsidRPr="00000000">
          <w:rPr>
            <w:rFonts w:ascii="Google Sans" w:cs="Google Sans" w:eastAsia="Google Sans" w:hAnsi="Google Sans"/>
            <w:color w:val="0000ee"/>
            <w:sz w:val="24"/>
            <w:szCs w:val="24"/>
            <w:u w:val="single"/>
            <w:rtl w:val="0"/>
          </w:rPr>
          <w:t xml:space="preserve">https://www.itpathsolutions.com/enhancing-healthcare-data-effective-hl7-interoperability-integration-strategies</w:t>
        </w:r>
      </w:hyperlink>
      <w:r w:rsidDel="00000000" w:rsidR="00000000" w:rsidRPr="00000000">
        <w:rPr>
          <w:rtl w:val="0"/>
        </w:rPr>
      </w:r>
    </w:p>
    <w:p w:rsidR="00000000" w:rsidDel="00000000" w:rsidP="00000000" w:rsidRDefault="00000000" w:rsidRPr="00000000" w14:paraId="0000012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modelowanie 14.12.25.pdf</w:t>
      </w:r>
    </w:p>
    <w:p w:rsidR="00000000" w:rsidDel="00000000" w:rsidP="00000000" w:rsidRDefault="00000000" w:rsidRPr="00000000" w14:paraId="0000012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improve Lab Turnaround Time (TAT) - Roche Diagnostics, otwierano: stycznia 16, 2026, </w:t>
      </w:r>
      <w:hyperlink r:id="rId14">
        <w:r w:rsidDel="00000000" w:rsidR="00000000" w:rsidRPr="00000000">
          <w:rPr>
            <w:rFonts w:ascii="Google Sans" w:cs="Google Sans" w:eastAsia="Google Sans" w:hAnsi="Google Sans"/>
            <w:color w:val="0000ee"/>
            <w:sz w:val="24"/>
            <w:szCs w:val="24"/>
            <w:u w:val="single"/>
            <w:rtl w:val="0"/>
          </w:rPr>
          <w:t xml:space="preserve">https://diagnostics.roche.com/global/en/lab-leaders/article/laboratory-turnaround-time.html</w:t>
        </w:r>
      </w:hyperlink>
      <w:r w:rsidDel="00000000" w:rsidR="00000000" w:rsidRPr="00000000">
        <w:rPr>
          <w:rtl w:val="0"/>
        </w:rPr>
      </w:r>
    </w:p>
    <w:p w:rsidR="00000000" w:rsidDel="00000000" w:rsidP="00000000" w:rsidRDefault="00000000" w:rsidRPr="00000000" w14:paraId="0000012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Requiem for the STAT Test: Automation and Point of Care Testing | Laboratory Medicine | Oxford Academic, otwierano: stycznia 16, 2026, </w:t>
      </w:r>
      <w:hyperlink r:id="rId15">
        <w:r w:rsidDel="00000000" w:rsidR="00000000" w:rsidRPr="00000000">
          <w:rPr>
            <w:rFonts w:ascii="Google Sans" w:cs="Google Sans" w:eastAsia="Google Sans" w:hAnsi="Google Sans"/>
            <w:color w:val="0000ee"/>
            <w:sz w:val="24"/>
            <w:szCs w:val="24"/>
            <w:u w:val="single"/>
            <w:rtl w:val="0"/>
          </w:rPr>
          <w:t xml:space="preserve">https://academic.oup.com/labmed/article/51/2/e27/5634820</w:t>
        </w:r>
      </w:hyperlink>
      <w:r w:rsidDel="00000000" w:rsidR="00000000" w:rsidRPr="00000000">
        <w:rPr>
          <w:rtl w:val="0"/>
        </w:rPr>
      </w:r>
    </w:p>
    <w:p w:rsidR="00000000" w:rsidDel="00000000" w:rsidP="00000000" w:rsidRDefault="00000000" w:rsidRPr="00000000" w14:paraId="0000012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Chain of Custody In The Lab? - LabKey, otwierano: stycznia 16, 2026, </w:t>
      </w:r>
      <w:hyperlink r:id="rId16">
        <w:r w:rsidDel="00000000" w:rsidR="00000000" w:rsidRPr="00000000">
          <w:rPr>
            <w:rFonts w:ascii="Google Sans" w:cs="Google Sans" w:eastAsia="Google Sans" w:hAnsi="Google Sans"/>
            <w:color w:val="0000ee"/>
            <w:sz w:val="24"/>
            <w:szCs w:val="24"/>
            <w:u w:val="single"/>
            <w:rtl w:val="0"/>
          </w:rPr>
          <w:t xml:space="preserve">https://www.labkey.com/chain-of-custody-laboratory/</w:t>
        </w:r>
      </w:hyperlink>
      <w:r w:rsidDel="00000000" w:rsidR="00000000" w:rsidRPr="00000000">
        <w:rPr>
          <w:rtl w:val="0"/>
        </w:rPr>
      </w:r>
    </w:p>
    <w:p w:rsidR="00000000" w:rsidDel="00000000" w:rsidP="00000000" w:rsidRDefault="00000000" w:rsidRPr="00000000" w14:paraId="0000012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Provenance - US Core Implementation Guide v9.0.0-ballot - FHIR specification, otwierano: stycznia 16, 2026, </w:t>
      </w:r>
      <w:hyperlink r:id="rId17">
        <w:r w:rsidDel="00000000" w:rsidR="00000000" w:rsidRPr="00000000">
          <w:rPr>
            <w:rFonts w:ascii="Google Sans" w:cs="Google Sans" w:eastAsia="Google Sans" w:hAnsi="Google Sans"/>
            <w:color w:val="0000ee"/>
            <w:sz w:val="24"/>
            <w:szCs w:val="24"/>
            <w:u w:val="single"/>
            <w:rtl w:val="0"/>
          </w:rPr>
          <w:t xml:space="preserve">https://build.fhir.org/ig/HL7/US-Core/basic-provenance.html</w:t>
        </w:r>
      </w:hyperlink>
      <w:r w:rsidDel="00000000" w:rsidR="00000000" w:rsidRPr="00000000">
        <w:rPr>
          <w:rtl w:val="0"/>
        </w:rPr>
      </w:r>
    </w:p>
    <w:p w:rsidR="00000000" w:rsidDel="00000000" w:rsidP="00000000" w:rsidRDefault="00000000" w:rsidRPr="00000000" w14:paraId="0000012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accessioning in Clinical Labs: Best Practices and Procedures - Flabs, otwierano: stycznia 16, 2026, </w:t>
      </w:r>
      <w:hyperlink r:id="rId18">
        <w:r w:rsidDel="00000000" w:rsidR="00000000" w:rsidRPr="00000000">
          <w:rPr>
            <w:rFonts w:ascii="Google Sans" w:cs="Google Sans" w:eastAsia="Google Sans" w:hAnsi="Google Sans"/>
            <w:color w:val="0000ee"/>
            <w:sz w:val="24"/>
            <w:szCs w:val="24"/>
            <w:u w:val="single"/>
            <w:rtl w:val="0"/>
          </w:rPr>
          <w:t xml:space="preserve">https://flabslis.com/blogs/sample-accessioning-in-clinical-labs</w:t>
        </w:r>
      </w:hyperlink>
      <w:r w:rsidDel="00000000" w:rsidR="00000000" w:rsidRPr="00000000">
        <w:rPr>
          <w:rtl w:val="0"/>
        </w:rPr>
      </w:r>
    </w:p>
    <w:p w:rsidR="00000000" w:rsidDel="00000000" w:rsidP="00000000" w:rsidRDefault="00000000" w:rsidRPr="00000000" w14:paraId="0000013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DiagnosticReport - Health Gorilla Guides, otwierano: stycznia 16, 2026, </w:t>
      </w:r>
      <w:hyperlink r:id="rId19">
        <w:r w:rsidDel="00000000" w:rsidR="00000000" w:rsidRPr="00000000">
          <w:rPr>
            <w:rFonts w:ascii="Google Sans" w:cs="Google Sans" w:eastAsia="Google Sans" w:hAnsi="Google Sans"/>
            <w:color w:val="0000ee"/>
            <w:sz w:val="24"/>
            <w:szCs w:val="24"/>
            <w:u w:val="single"/>
            <w:rtl w:val="0"/>
          </w:rPr>
          <w:t xml:space="preserve">https://developer.healthgorilla.com/reference/diagnosticreport</w:t>
        </w:r>
      </w:hyperlink>
      <w:r w:rsidDel="00000000" w:rsidR="00000000" w:rsidRPr="00000000">
        <w:rPr>
          <w:rtl w:val="0"/>
        </w:rPr>
      </w:r>
    </w:p>
    <w:p w:rsidR="00000000" w:rsidDel="00000000" w:rsidP="00000000" w:rsidRDefault="00000000" w:rsidRPr="00000000" w14:paraId="0000013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Core DiagnosticReport Profile for Laboratory Results Reporting - FHIR specification, otwierano: stycznia 16, 2026, </w:t>
      </w:r>
      <w:hyperlink r:id="rId20">
        <w:r w:rsidDel="00000000" w:rsidR="00000000" w:rsidRPr="00000000">
          <w:rPr>
            <w:rFonts w:ascii="Google Sans" w:cs="Google Sans" w:eastAsia="Google Sans" w:hAnsi="Google Sans"/>
            <w:color w:val="0000ee"/>
            <w:sz w:val="24"/>
            <w:szCs w:val="24"/>
            <w:u w:val="single"/>
            <w:rtl w:val="0"/>
          </w:rPr>
          <w:t xml:space="preserve">https://build.fhir.org/ig/HL7/US-Core/StructureDefinition-us-core-diagnosticreport-lab.html</w:t>
        </w:r>
      </w:hyperlink>
      <w:r w:rsidDel="00000000" w:rsidR="00000000" w:rsidRPr="00000000">
        <w:rPr>
          <w:rtl w:val="0"/>
        </w:rPr>
      </w:r>
    </w:p>
    <w:p w:rsidR="00000000" w:rsidDel="00000000" w:rsidP="00000000" w:rsidRDefault="00000000" w:rsidRPr="00000000" w14:paraId="0000013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Accessioning Department Employee Workflow Guide, otwierano: stycznia 16, 2026, </w:t>
      </w:r>
      <w:hyperlink r:id="rId21">
        <w:r w:rsidDel="00000000" w:rsidR="00000000" w:rsidRPr="00000000">
          <w:rPr>
            <w:rFonts w:ascii="Google Sans" w:cs="Google Sans" w:eastAsia="Google Sans" w:hAnsi="Google Sans"/>
            <w:color w:val="0000ee"/>
            <w:sz w:val="24"/>
            <w:szCs w:val="24"/>
            <w:u w:val="single"/>
            <w:rtl w:val="0"/>
          </w:rPr>
          <w:t xml:space="preserve">http://www.aculabs.com/wp-content/uploads/2019/01/Accessioning-Guide-1.16.19.pdf</w:t>
        </w:r>
      </w:hyperlink>
      <w:r w:rsidDel="00000000" w:rsidR="00000000" w:rsidRPr="00000000">
        <w:rPr>
          <w:rtl w:val="0"/>
        </w:rPr>
      </w:r>
    </w:p>
    <w:p w:rsidR="00000000" w:rsidDel="00000000" w:rsidP="00000000" w:rsidRDefault="00000000" w:rsidRPr="00000000" w14:paraId="0000013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Specimen Preparation Procedures | Services for Health Care Professionals | Pathology and Lab Services, otwierano: stycznia 16, 2026, </w:t>
      </w:r>
      <w:hyperlink r:id="rId22">
        <w:r w:rsidDel="00000000" w:rsidR="00000000" w:rsidRPr="00000000">
          <w:rPr>
            <w:rFonts w:ascii="Google Sans" w:cs="Google Sans" w:eastAsia="Google Sans" w:hAnsi="Google Sans"/>
            <w:color w:val="0000ee"/>
            <w:sz w:val="24"/>
            <w:szCs w:val="24"/>
            <w:u w:val="single"/>
            <w:rtl w:val="0"/>
          </w:rPr>
          <w:t xml:space="preserve">https://www.mainlinehealth.org/specialties/labs-and-pathology/services-for-health-care-professionals/specimen-preparation-procedures</w:t>
        </w:r>
      </w:hyperlink>
      <w:r w:rsidDel="00000000" w:rsidR="00000000" w:rsidRPr="00000000">
        <w:rPr>
          <w:rtl w:val="0"/>
        </w:rPr>
      </w:r>
    </w:p>
    <w:p w:rsidR="00000000" w:rsidDel="00000000" w:rsidP="00000000" w:rsidRDefault="00000000" w:rsidRPr="00000000" w14:paraId="0000013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Lab Middleware Shortchanging Your Laboratory's Performance? - Data Innovations, otwierano: stycznia 16, 2026, </w:t>
      </w:r>
      <w:hyperlink r:id="rId23">
        <w:r w:rsidDel="00000000" w:rsidR="00000000" w:rsidRPr="00000000">
          <w:rPr>
            <w:rFonts w:ascii="Google Sans" w:cs="Google Sans" w:eastAsia="Google Sans" w:hAnsi="Google Sans"/>
            <w:color w:val="0000ee"/>
            <w:sz w:val="24"/>
            <w:szCs w:val="24"/>
            <w:u w:val="single"/>
            <w:rtl w:val="0"/>
          </w:rPr>
          <w:t xml:space="preserve">https://datainnovations.com/resource/is-your-lab-middleware-shortchanging-your-laboratorys-performance/</w:t>
        </w:r>
      </w:hyperlink>
      <w:r w:rsidDel="00000000" w:rsidR="00000000" w:rsidRPr="00000000">
        <w:rPr>
          <w:rtl w:val="0"/>
        </w:rPr>
      </w:r>
    </w:p>
    <w:p w:rsidR="00000000" w:rsidDel="00000000" w:rsidP="00000000" w:rsidRDefault="00000000" w:rsidRPr="00000000" w14:paraId="0000013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Achieving Successful LIMS Implementation in QC Laboratories - LabWare, otwierano: stycznia 16, 2026, </w:t>
      </w:r>
      <w:hyperlink r:id="rId24">
        <w:r w:rsidDel="00000000" w:rsidR="00000000" w:rsidRPr="00000000">
          <w:rPr>
            <w:rFonts w:ascii="Google Sans" w:cs="Google Sans" w:eastAsia="Google Sans" w:hAnsi="Google Sans"/>
            <w:color w:val="0000ee"/>
            <w:sz w:val="24"/>
            <w:szCs w:val="24"/>
            <w:u w:val="single"/>
            <w:rtl w:val="0"/>
          </w:rPr>
          <w:t xml:space="preserve">https://www.labware.com/blog/best-practices-qc-laboratory-automation</w:t>
        </w:r>
      </w:hyperlink>
      <w:r w:rsidDel="00000000" w:rsidR="00000000" w:rsidRPr="00000000">
        <w:rPr>
          <w:rtl w:val="0"/>
        </w:rPr>
      </w:r>
    </w:p>
    <w:p w:rsidR="00000000" w:rsidDel="00000000" w:rsidP="00000000" w:rsidRDefault="00000000" w:rsidRPr="00000000" w14:paraId="0000013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HL7.FHIR.BE.LAB\Guidance - FHIR v4.0.1 - ehealth.fgov.be, otwierano: stycznia 16, 2026, </w:t>
      </w:r>
      <w:hyperlink r:id="rId25">
        <w:r w:rsidDel="00000000" w:rsidR="00000000" w:rsidRPr="00000000">
          <w:rPr>
            <w:rFonts w:ascii="Google Sans" w:cs="Google Sans" w:eastAsia="Google Sans" w:hAnsi="Google Sans"/>
            <w:color w:val="0000ee"/>
            <w:sz w:val="24"/>
            <w:szCs w:val="24"/>
            <w:u w:val="single"/>
            <w:rtl w:val="0"/>
          </w:rPr>
          <w:t xml:space="preserve">https://www.ehealth.fgov.be/standards/fhir/lab/guidance.html</w:t>
        </w:r>
      </w:hyperlink>
      <w:r w:rsidDel="00000000" w:rsidR="00000000" w:rsidRPr="00000000">
        <w:rPr>
          <w:rtl w:val="0"/>
        </w:rPr>
      </w:r>
    </w:p>
    <w:p w:rsidR="00000000" w:rsidDel="00000000" w:rsidP="00000000" w:rsidRDefault="00000000" w:rsidRPr="00000000" w14:paraId="0000013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15189: 2022 – Key Quality Management System Clauses - College of American Pathologists, otwierano: stycznia 16, 2026, </w:t>
      </w:r>
      <w:hyperlink r:id="rId26">
        <w:r w:rsidDel="00000000" w:rsidR="00000000" w:rsidRPr="00000000">
          <w:rPr>
            <w:rFonts w:ascii="Google Sans" w:cs="Google Sans" w:eastAsia="Google Sans" w:hAnsi="Google Sans"/>
            <w:color w:val="0000ee"/>
            <w:sz w:val="24"/>
            <w:szCs w:val="24"/>
            <w:u w:val="single"/>
            <w:rtl w:val="0"/>
          </w:rPr>
          <w:t xml:space="preserve">https://documents.cap.org/documents/ISO_15189_Poster12x18_041323.pdf</w:t>
        </w:r>
      </w:hyperlink>
      <w:r w:rsidDel="00000000" w:rsidR="00000000" w:rsidRPr="00000000">
        <w:rPr>
          <w:rtl w:val="0"/>
        </w:rPr>
      </w:r>
    </w:p>
    <w:p w:rsidR="00000000" w:rsidDel="00000000" w:rsidP="00000000" w:rsidRDefault="00000000" w:rsidRPr="00000000" w14:paraId="0000013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15189 – Akredytacja laboratoriów medycznych | Wymagania, wdrożenie, audyt PCA, otwierano: stycznia 16, 2026, </w:t>
      </w:r>
      <w:hyperlink r:id="rId27">
        <w:r w:rsidDel="00000000" w:rsidR="00000000" w:rsidRPr="00000000">
          <w:rPr>
            <w:rFonts w:ascii="Google Sans" w:cs="Google Sans" w:eastAsia="Google Sans" w:hAnsi="Google Sans"/>
            <w:color w:val="0000ee"/>
            <w:sz w:val="24"/>
            <w:szCs w:val="24"/>
            <w:u w:val="single"/>
            <w:rtl w:val="0"/>
          </w:rPr>
          <w:t xml:space="preserve">https://ikmj.com/akredytacja-pca-iso-iec-170xx/iso-15189-laboratoria-medyczne/</w:t>
        </w:r>
      </w:hyperlink>
      <w:r w:rsidDel="00000000" w:rsidR="00000000" w:rsidRPr="00000000">
        <w:rPr>
          <w:rtl w:val="0"/>
        </w:rPr>
      </w:r>
    </w:p>
    <w:p w:rsidR="00000000" w:rsidDel="00000000" w:rsidP="00000000" w:rsidRDefault="00000000" w:rsidRPr="00000000" w14:paraId="0000013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STAT Turnaround Time with Minimal Process Change | myadlm.org, otwierano: stycznia 16, 2026, </w:t>
      </w:r>
      <w:hyperlink r:id="rId28">
        <w:r w:rsidDel="00000000" w:rsidR="00000000" w:rsidRPr="00000000">
          <w:rPr>
            <w:rFonts w:ascii="Google Sans" w:cs="Google Sans" w:eastAsia="Google Sans" w:hAnsi="Google Sans"/>
            <w:color w:val="0000ee"/>
            <w:sz w:val="24"/>
            <w:szCs w:val="24"/>
            <w:u w:val="single"/>
            <w:rtl w:val="0"/>
          </w:rPr>
          <w:t xml:space="preserve">https://myadlm.org/cln/cln-industry-insights/2019/improving-stat-turnaround-time-with-minimal-process-change</w:t>
        </w:r>
      </w:hyperlink>
      <w:r w:rsidDel="00000000" w:rsidR="00000000" w:rsidRPr="00000000">
        <w:rPr>
          <w:rtl w:val="0"/>
        </w:rPr>
      </w:r>
    </w:p>
    <w:p w:rsidR="00000000" w:rsidDel="00000000" w:rsidP="00000000" w:rsidRDefault="00000000" w:rsidRPr="00000000" w14:paraId="0000013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LOINC Code Worksheet - Hcup- us.ahrq.gov, otwierano: stycznia 16, 2026, </w:t>
      </w:r>
      <w:hyperlink r:id="rId29">
        <w:r w:rsidDel="00000000" w:rsidR="00000000" w:rsidRPr="00000000">
          <w:rPr>
            <w:rFonts w:ascii="Google Sans" w:cs="Google Sans" w:eastAsia="Google Sans" w:hAnsi="Google Sans"/>
            <w:color w:val="0000ee"/>
            <w:sz w:val="24"/>
            <w:szCs w:val="24"/>
            <w:u w:val="single"/>
            <w:rtl w:val="0"/>
          </w:rPr>
          <w:t xml:space="preserve">https://hcup-us.ahrq.gov/datainnovations/clinicaldata/AppendixK_2LOINCCodesMap.pdf</w:t>
        </w:r>
      </w:hyperlink>
      <w:r w:rsidDel="00000000" w:rsidR="00000000" w:rsidRPr="00000000">
        <w:rPr>
          <w:rtl w:val="0"/>
        </w:rPr>
      </w:r>
    </w:p>
    <w:p w:rsidR="00000000" w:rsidDel="00000000" w:rsidP="00000000" w:rsidRDefault="00000000" w:rsidRPr="00000000" w14:paraId="0000013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LOINC and SNOMED coding - What does it all mean? - Clinisys, otwierano: stycznia 16, 2026, </w:t>
      </w:r>
      <w:hyperlink r:id="rId30">
        <w:r w:rsidDel="00000000" w:rsidR="00000000" w:rsidRPr="00000000">
          <w:rPr>
            <w:rFonts w:ascii="Google Sans" w:cs="Google Sans" w:eastAsia="Google Sans" w:hAnsi="Google Sans"/>
            <w:color w:val="0000ee"/>
            <w:sz w:val="24"/>
            <w:szCs w:val="24"/>
            <w:u w:val="single"/>
            <w:rtl w:val="0"/>
          </w:rPr>
          <w:t xml:space="preserve">https://www.clinisys.com/int/en/insight/loinc-and-snomed-coding-what-does-it-all-mean/</w:t>
        </w:r>
      </w:hyperlink>
      <w:r w:rsidDel="00000000" w:rsidR="00000000" w:rsidRPr="00000000">
        <w:rPr>
          <w:rtl w:val="0"/>
        </w:rPr>
      </w:r>
    </w:p>
    <w:p w:rsidR="00000000" w:rsidDel="00000000" w:rsidP="00000000" w:rsidRDefault="00000000" w:rsidRPr="00000000" w14:paraId="0000013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DiagnosticReport - APIs at athenahealth | API Solutions, otwierano: stycznia 16, 2026, </w:t>
      </w:r>
      <w:hyperlink r:id="rId31">
        <w:r w:rsidDel="00000000" w:rsidR="00000000" w:rsidRPr="00000000">
          <w:rPr>
            <w:rFonts w:ascii="Google Sans" w:cs="Google Sans" w:eastAsia="Google Sans" w:hAnsi="Google Sans"/>
            <w:color w:val="0000ee"/>
            <w:sz w:val="24"/>
            <w:szCs w:val="24"/>
            <w:u w:val="single"/>
            <w:rtl w:val="0"/>
          </w:rPr>
          <w:t xml:space="preserve">https://docs.athenahealth.com/api/fhir-r4/diagnostic-report</w:t>
        </w:r>
      </w:hyperlink>
      <w:r w:rsidDel="00000000" w:rsidR="00000000" w:rsidRPr="00000000">
        <w:rPr>
          <w:rtl w:val="0"/>
        </w:rPr>
      </w:r>
    </w:p>
    <w:p w:rsidR="00000000" w:rsidDel="00000000" w:rsidP="00000000" w:rsidRDefault="00000000" w:rsidRPr="00000000" w14:paraId="0000013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Transmission Using Data Innovations Instrument Manager™ User Guide - College of American Pathologists, otwierano: stycznia 16, 2026, </w:t>
      </w:r>
      <w:hyperlink r:id="rId32">
        <w:r w:rsidDel="00000000" w:rsidR="00000000" w:rsidRPr="00000000">
          <w:rPr>
            <w:rFonts w:ascii="Google Sans" w:cs="Google Sans" w:eastAsia="Google Sans" w:hAnsi="Google Sans"/>
            <w:color w:val="0000ee"/>
            <w:sz w:val="24"/>
            <w:szCs w:val="24"/>
            <w:u w:val="single"/>
            <w:rtl w:val="0"/>
          </w:rPr>
          <w:t xml:space="preserve">https://documents.cap.org/documents/Direct_Transmission_Using_Data_Innovations_Instrument_Manager_User_Guide_PRODUCTION.pdf</w:t>
        </w:r>
      </w:hyperlink>
      <w:r w:rsidDel="00000000" w:rsidR="00000000" w:rsidRPr="00000000">
        <w:rPr>
          <w:rtl w:val="0"/>
        </w:rPr>
      </w:r>
    </w:p>
    <w:p w:rsidR="00000000" w:rsidDel="00000000" w:rsidP="00000000" w:rsidRDefault="00000000" w:rsidRPr="00000000" w14:paraId="0000013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Instrument Manager TM - Data Innovations, otwierano: stycznia 16, 2026, </w:t>
      </w:r>
      <w:hyperlink r:id="rId33">
        <w:r w:rsidDel="00000000" w:rsidR="00000000" w:rsidRPr="00000000">
          <w:rPr>
            <w:rFonts w:ascii="Google Sans" w:cs="Google Sans" w:eastAsia="Google Sans" w:hAnsi="Google Sans"/>
            <w:color w:val="0000ee"/>
            <w:sz w:val="24"/>
            <w:szCs w:val="24"/>
            <w:u w:val="single"/>
            <w:rtl w:val="0"/>
          </w:rPr>
          <w:t xml:space="preserve">https://datainnovations.com/product/instrument-manager/</w:t>
        </w:r>
      </w:hyperlink>
      <w:r w:rsidDel="00000000" w:rsidR="00000000" w:rsidRPr="00000000">
        <w:rPr>
          <w:rtl w:val="0"/>
        </w:rPr>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Profile: Specimen: Laboratory - HL7 in Europe, otwierano: stycznia 16, 2026, </w:t>
      </w:r>
      <w:hyperlink r:id="rId34">
        <w:r w:rsidDel="00000000" w:rsidR="00000000" w:rsidRPr="00000000">
          <w:rPr>
            <w:rFonts w:ascii="Google Sans" w:cs="Google Sans" w:eastAsia="Google Sans" w:hAnsi="Google Sans"/>
            <w:color w:val="0000ee"/>
            <w:sz w:val="24"/>
            <w:szCs w:val="24"/>
            <w:u w:val="single"/>
            <w:rtl w:val="0"/>
          </w:rPr>
          <w:t xml:space="preserve">https://hl7.eu/fhir/laboratory/StructureDefinition-Specimen-eu-lab.html</w:t>
        </w:r>
      </w:hyperlink>
      <w:r w:rsidDel="00000000" w:rsidR="00000000" w:rsidRPr="00000000">
        <w:rPr>
          <w:rtl w:val="0"/>
        </w:rPr>
      </w:r>
    </w:p>
    <w:p w:rsidR="00000000" w:rsidDel="00000000" w:rsidP="00000000" w:rsidRDefault="00000000" w:rsidRPr="00000000" w14:paraId="0000014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HL7.FHIR.BE.LAB\BeSpecimenLaboratory - ehealth.fgov.be, otwierano: stycznia 16, 2026, </w:t>
      </w:r>
      <w:hyperlink r:id="rId35">
        <w:r w:rsidDel="00000000" w:rsidR="00000000" w:rsidRPr="00000000">
          <w:rPr>
            <w:rFonts w:ascii="Google Sans" w:cs="Google Sans" w:eastAsia="Google Sans" w:hAnsi="Google Sans"/>
            <w:color w:val="0000ee"/>
            <w:sz w:val="24"/>
            <w:szCs w:val="24"/>
            <w:u w:val="single"/>
            <w:rtl w:val="0"/>
          </w:rPr>
          <w:t xml:space="preserve">https://www.ehealth.fgov.be/standards/fhir/lab/StructureDefinition-be-specimen-laboratory.html</w:t>
        </w:r>
      </w:hyperlink>
      <w:r w:rsidDel="00000000" w:rsidR="00000000" w:rsidRPr="00000000">
        <w:rPr>
          <w:rtl w:val="0"/>
        </w:rPr>
      </w:r>
    </w:p>
    <w:p w:rsidR="00000000" w:rsidDel="00000000" w:rsidP="00000000" w:rsidRDefault="00000000" w:rsidRPr="00000000" w14:paraId="0000014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DiagnosticReport.Search (Results) - Specifications - Epic on FHIR, otwierano: stycznia 16, 2026, </w:t>
      </w:r>
      <w:hyperlink r:id="rId36">
        <w:r w:rsidDel="00000000" w:rsidR="00000000" w:rsidRPr="00000000">
          <w:rPr>
            <w:rFonts w:ascii="Google Sans" w:cs="Google Sans" w:eastAsia="Google Sans" w:hAnsi="Google Sans"/>
            <w:color w:val="0000ee"/>
            <w:sz w:val="24"/>
            <w:szCs w:val="24"/>
            <w:u w:val="single"/>
            <w:rtl w:val="0"/>
          </w:rPr>
          <w:t xml:space="preserve">https://fhir.epic.com/Specifications?api=989</w:t>
        </w:r>
      </w:hyperlink>
      <w:r w:rsidDel="00000000" w:rsidR="00000000" w:rsidRPr="00000000">
        <w:rPr>
          <w:rtl w:val="0"/>
        </w:rPr>
      </w:r>
    </w:p>
    <w:p w:rsidR="00000000" w:rsidDel="00000000" w:rsidP="00000000" w:rsidRDefault="00000000" w:rsidRPr="00000000" w14:paraId="0000014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Resources for Representing Laboratory Results - SNOMED CT Document Library, otwierano: stycznia 16, 2026, </w:t>
      </w:r>
      <w:hyperlink r:id="rId37">
        <w:r w:rsidDel="00000000" w:rsidR="00000000" w:rsidRPr="00000000">
          <w:rPr>
            <w:rFonts w:ascii="Google Sans" w:cs="Google Sans" w:eastAsia="Google Sans" w:hAnsi="Google Sans"/>
            <w:color w:val="0000ee"/>
            <w:sz w:val="24"/>
            <w:szCs w:val="24"/>
            <w:u w:val="single"/>
            <w:rtl w:val="0"/>
          </w:rPr>
          <w:t xml:space="preserve">https://docs.snomed.org/implementation-guides/loinc-implementation-guide/information-models-and-terminology-binding/5.3-hl7-fhir-and-laboratory-data/5.3.2-fhir-resources-for-representing-laboratory-results</w:t>
        </w:r>
      </w:hyperlink>
      <w:r w:rsidDel="00000000" w:rsidR="00000000" w:rsidRPr="00000000">
        <w:rPr>
          <w:rtl w:val="0"/>
        </w:rPr>
      </w:r>
    </w:p>
    <w:p w:rsidR="00000000" w:rsidDel="00000000" w:rsidP="00000000" w:rsidRDefault="00000000" w:rsidRPr="00000000" w14:paraId="0000014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Observation Resource | Structure, Coding, and Use Cases Explained, otwierano: stycznia 16, 2026, </w:t>
      </w:r>
      <w:hyperlink r:id="rId38">
        <w:r w:rsidDel="00000000" w:rsidR="00000000" w:rsidRPr="00000000">
          <w:rPr>
            <w:rFonts w:ascii="Google Sans" w:cs="Google Sans" w:eastAsia="Google Sans" w:hAnsi="Google Sans"/>
            <w:color w:val="0000ee"/>
            <w:sz w:val="24"/>
            <w:szCs w:val="24"/>
            <w:u w:val="single"/>
            <w:rtl w:val="0"/>
          </w:rPr>
          <w:t xml:space="preserve">https://www.interfaceware.com/fhir/resources/observation</w:t>
        </w:r>
      </w:hyperlink>
      <w:r w:rsidDel="00000000" w:rsidR="00000000" w:rsidRPr="00000000">
        <w:rPr>
          <w:rtl w:val="0"/>
        </w:rPr>
      </w:r>
    </w:p>
    <w:p w:rsidR="00000000" w:rsidDel="00000000" w:rsidP="00000000" w:rsidRDefault="00000000" w:rsidRPr="00000000" w14:paraId="0000014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Provenance - FHIR v6.0.0-ballot3, otwierano: stycznia 16, 2026, </w:t>
      </w:r>
      <w:hyperlink r:id="rId39">
        <w:r w:rsidDel="00000000" w:rsidR="00000000" w:rsidRPr="00000000">
          <w:rPr>
            <w:rFonts w:ascii="Google Sans" w:cs="Google Sans" w:eastAsia="Google Sans" w:hAnsi="Google Sans"/>
            <w:color w:val="0000ee"/>
            <w:sz w:val="24"/>
            <w:szCs w:val="24"/>
            <w:u w:val="single"/>
            <w:rtl w:val="0"/>
          </w:rPr>
          <w:t xml:space="preserve">https://build.fhir.org/provenance.html</w:t>
        </w:r>
      </w:hyperlink>
      <w:r w:rsidDel="00000000" w:rsidR="00000000" w:rsidRPr="00000000">
        <w:rPr>
          <w:rtl w:val="0"/>
        </w:rPr>
      </w:r>
    </w:p>
    <w:p w:rsidR="00000000" w:rsidDel="00000000" w:rsidP="00000000" w:rsidRDefault="00000000" w:rsidRPr="00000000" w14:paraId="0000014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 ci8200 Integrated System | Core Laboratory at Abbott, otwierano: stycznia 16, 2026, </w:t>
      </w:r>
      <w:hyperlink r:id="rId40">
        <w:r w:rsidDel="00000000" w:rsidR="00000000" w:rsidRPr="00000000">
          <w:rPr>
            <w:rFonts w:ascii="Google Sans" w:cs="Google Sans" w:eastAsia="Google Sans" w:hAnsi="Google Sans"/>
            <w:color w:val="0000ee"/>
            <w:sz w:val="24"/>
            <w:szCs w:val="24"/>
            <w:u w:val="single"/>
            <w:rtl w:val="0"/>
          </w:rPr>
          <w:t xml:space="preserve">https://www.corelaboratory.abbott/us/en/offerings/brands/architect/architect-ci8200.html</w:t>
        </w:r>
      </w:hyperlink>
      <w:r w:rsidDel="00000000" w:rsidR="00000000" w:rsidRPr="00000000">
        <w:rPr>
          <w:rtl w:val="0"/>
        </w:rPr>
      </w:r>
    </w:p>
    <w:p w:rsidR="00000000" w:rsidDel="00000000" w:rsidP="00000000" w:rsidRDefault="00000000" w:rsidRPr="00000000" w14:paraId="0000014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LIMS Ensures FDA 21 CFR Part 11 Compliance - Life Science Software - Instem, otwierano: stycznia 16, 2026, </w:t>
      </w:r>
      <w:hyperlink r:id="rId41">
        <w:r w:rsidDel="00000000" w:rsidR="00000000" w:rsidRPr="00000000">
          <w:rPr>
            <w:rFonts w:ascii="Google Sans" w:cs="Google Sans" w:eastAsia="Google Sans" w:hAnsi="Google Sans"/>
            <w:color w:val="0000ee"/>
            <w:sz w:val="24"/>
            <w:szCs w:val="24"/>
            <w:u w:val="single"/>
            <w:rtl w:val="0"/>
          </w:rPr>
          <w:t xml:space="preserve">https://www.instem.com/how-lims-ensures-fda-21-cfr-part-11-compliance/</w:t>
        </w:r>
      </w:hyperlink>
      <w:r w:rsidDel="00000000" w:rsidR="00000000" w:rsidRPr="00000000">
        <w:rPr>
          <w:rtl w:val="0"/>
        </w:rPr>
      </w:r>
    </w:p>
    <w:p w:rsidR="00000000" w:rsidDel="00000000" w:rsidP="00000000" w:rsidRDefault="00000000" w:rsidRPr="00000000" w14:paraId="0000014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LIMS and FDA 21 CFR Part 11 Compliance - LabVantage Solutions, otwierano: stycznia 16, 2026, </w:t>
      </w:r>
      <w:hyperlink r:id="rId42">
        <w:r w:rsidDel="00000000" w:rsidR="00000000" w:rsidRPr="00000000">
          <w:rPr>
            <w:rFonts w:ascii="Google Sans" w:cs="Google Sans" w:eastAsia="Google Sans" w:hAnsi="Google Sans"/>
            <w:color w:val="0000ee"/>
            <w:sz w:val="24"/>
            <w:szCs w:val="24"/>
            <w:u w:val="single"/>
            <w:rtl w:val="0"/>
          </w:rPr>
          <w:t xml:space="preserve">https://www.labvantage.com/blog/lims-and-fda-21-cfr-part-11-compliance/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relaboratory.abbott/us/en/offerings/brands/architect/architect-ci8200.html" TargetMode="External"/><Relationship Id="rId20" Type="http://schemas.openxmlformats.org/officeDocument/2006/relationships/hyperlink" Target="https://build.fhir.org/ig/HL7/US-Core/StructureDefinition-us-core-diagnosticreport-lab.html" TargetMode="External"/><Relationship Id="rId42" Type="http://schemas.openxmlformats.org/officeDocument/2006/relationships/hyperlink" Target="https://www.labvantage.com/blog/lims-and-fda-21-cfr-part-11-compliance/" TargetMode="External"/><Relationship Id="rId41" Type="http://schemas.openxmlformats.org/officeDocument/2006/relationships/hyperlink" Target="https://www.instem.com/how-lims-ensures-fda-21-cfr-part-11-compliance/" TargetMode="External"/><Relationship Id="rId22" Type="http://schemas.openxmlformats.org/officeDocument/2006/relationships/hyperlink" Target="https://www.mainlinehealth.org/specialties/labs-and-pathology/services-for-health-care-professionals/specimen-preparation-procedures" TargetMode="External"/><Relationship Id="rId21" Type="http://schemas.openxmlformats.org/officeDocument/2006/relationships/hyperlink" Target="http://www.aculabs.com/wp-content/uploads/2019/01/Accessioning-Guide-1.16.19.pdf" TargetMode="External"/><Relationship Id="rId24" Type="http://schemas.openxmlformats.org/officeDocument/2006/relationships/hyperlink" Target="https://www.labware.com/blog/best-practices-qc-laboratory-automation" TargetMode="External"/><Relationship Id="rId23" Type="http://schemas.openxmlformats.org/officeDocument/2006/relationships/hyperlink" Target="https://datainnovations.com/resource/is-your-lab-middleware-shortchanging-your-laboratorys-perform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sur.invmed.com/ensur/contentAction.aspx?key=ensur.408925.S2R4E4A3.20171030.4538.4160343" TargetMode="External"/><Relationship Id="rId26" Type="http://schemas.openxmlformats.org/officeDocument/2006/relationships/hyperlink" Target="https://documents.cap.org/documents/ISO_15189_Poster12x18_041323.pdf" TargetMode="External"/><Relationship Id="rId25" Type="http://schemas.openxmlformats.org/officeDocument/2006/relationships/hyperlink" Target="https://www.ehealth.fgov.be/standards/fhir/lab/guidance.html" TargetMode="External"/><Relationship Id="rId28" Type="http://schemas.openxmlformats.org/officeDocument/2006/relationships/hyperlink" Target="https://myadlm.org/cln/cln-industry-insights/2019/improving-stat-turnaround-time-with-minimal-process-change" TargetMode="External"/><Relationship Id="rId27" Type="http://schemas.openxmlformats.org/officeDocument/2006/relationships/hyperlink" Target="https://ikmj.com/akredytacja-pca-iso-iec-170xx/iso-15189-laboratoria-medyczne/" TargetMode="External"/><Relationship Id="rId5" Type="http://schemas.openxmlformats.org/officeDocument/2006/relationships/styles" Target="styles.xml"/><Relationship Id="rId6" Type="http://schemas.openxmlformats.org/officeDocument/2006/relationships/hyperlink" Target="https://www.aphl.org/aboutAPHL/publications/Documents/GH-LIS-Integration-Guide.pdf" TargetMode="External"/><Relationship Id="rId29" Type="http://schemas.openxmlformats.org/officeDocument/2006/relationships/hyperlink" Target="https://hcup-us.ahrq.gov/datainnovations/clinicaldata/AppendixK_2LOINCCodesMap.pdf" TargetMode="External"/><Relationship Id="rId7" Type="http://schemas.openxmlformats.org/officeDocument/2006/relationships/hyperlink" Target="https://pmc.ncbi.nlm.nih.gov/articles/PMC4062323/" TargetMode="External"/><Relationship Id="rId8" Type="http://schemas.openxmlformats.org/officeDocument/2006/relationships/hyperlink" Target="https://www.scribd.com/doc/238280628/ROCHE-Cobas-6000-Host-Interface-Manual-v1-1" TargetMode="External"/><Relationship Id="rId31" Type="http://schemas.openxmlformats.org/officeDocument/2006/relationships/hyperlink" Target="https://docs.athenahealth.com/api/fhir-r4/diagnostic-report" TargetMode="External"/><Relationship Id="rId30" Type="http://schemas.openxmlformats.org/officeDocument/2006/relationships/hyperlink" Target="https://www.clinisys.com/int/en/insight/loinc-and-snomed-coding-what-does-it-all-mean/" TargetMode="External"/><Relationship Id="rId11" Type="http://schemas.openxmlformats.org/officeDocument/2006/relationships/hyperlink" Target="https://nata.com.au/files/2022/09/ISO_FDIS_15189_E.pdf" TargetMode="External"/><Relationship Id="rId33" Type="http://schemas.openxmlformats.org/officeDocument/2006/relationships/hyperlink" Target="https://datainnovations.com/product/instrument-manager/" TargetMode="External"/><Relationship Id="rId10" Type="http://schemas.openxmlformats.org/officeDocument/2006/relationships/hyperlink" Target="https://extranet.who.int/lqsi/iso15189_2012/5.10.3" TargetMode="External"/><Relationship Id="rId32" Type="http://schemas.openxmlformats.org/officeDocument/2006/relationships/hyperlink" Target="https://documents.cap.org/documents/Direct_Transmission_Using_Data_Innovations_Instrument_Manager_User_Guide_PRODUCTION.pdf" TargetMode="External"/><Relationship Id="rId13" Type="http://schemas.openxmlformats.org/officeDocument/2006/relationships/hyperlink" Target="https://www.itpathsolutions.com/enhancing-healthcare-data-effective-hl7-interoperability-integration-strategies" TargetMode="External"/><Relationship Id="rId35" Type="http://schemas.openxmlformats.org/officeDocument/2006/relationships/hyperlink" Target="https://www.ehealth.fgov.be/standards/fhir/lab/StructureDefinition-be-specimen-laboratory.html" TargetMode="External"/><Relationship Id="rId12" Type="http://schemas.openxmlformats.org/officeDocument/2006/relationships/hyperlink" Target="https://blog.creliohealth.com/connecting-the-dots-improving-patient-outcomes-through-lims-integration/" TargetMode="External"/><Relationship Id="rId34" Type="http://schemas.openxmlformats.org/officeDocument/2006/relationships/hyperlink" Target="https://hl7.eu/fhir/laboratory/StructureDefinition-Specimen-eu-lab.html" TargetMode="External"/><Relationship Id="rId15" Type="http://schemas.openxmlformats.org/officeDocument/2006/relationships/hyperlink" Target="https://academic.oup.com/labmed/article/51/2/e27/5634820" TargetMode="External"/><Relationship Id="rId37" Type="http://schemas.openxmlformats.org/officeDocument/2006/relationships/hyperlink" Target="https://docs.snomed.org/implementation-guides/loinc-implementation-guide/information-models-and-terminology-binding/5.3-hl7-fhir-and-laboratory-data/5.3.2-fhir-resources-for-representing-laboratory-results" TargetMode="External"/><Relationship Id="rId14" Type="http://schemas.openxmlformats.org/officeDocument/2006/relationships/hyperlink" Target="https://diagnostics.roche.com/global/en/lab-leaders/article/laboratory-turnaround-time.html" TargetMode="External"/><Relationship Id="rId36" Type="http://schemas.openxmlformats.org/officeDocument/2006/relationships/hyperlink" Target="https://fhir.epic.com/Specifications?api=989" TargetMode="External"/><Relationship Id="rId17" Type="http://schemas.openxmlformats.org/officeDocument/2006/relationships/hyperlink" Target="https://build.fhir.org/ig/HL7/US-Core/basic-provenance.html" TargetMode="External"/><Relationship Id="rId39" Type="http://schemas.openxmlformats.org/officeDocument/2006/relationships/hyperlink" Target="https://build.fhir.org/provenance.html" TargetMode="External"/><Relationship Id="rId16" Type="http://schemas.openxmlformats.org/officeDocument/2006/relationships/hyperlink" Target="https://www.labkey.com/chain-of-custody-laboratory/" TargetMode="External"/><Relationship Id="rId38" Type="http://schemas.openxmlformats.org/officeDocument/2006/relationships/hyperlink" Target="https://www.interfaceware.com/fhir/resources/observation" TargetMode="External"/><Relationship Id="rId19" Type="http://schemas.openxmlformats.org/officeDocument/2006/relationships/hyperlink" Target="https://developer.healthgorilla.com/reference/diagnosticreport" TargetMode="External"/><Relationship Id="rId18" Type="http://schemas.openxmlformats.org/officeDocument/2006/relationships/hyperlink" Target="https://flabslis.com/blogs/sample-accessioning-in-clinical-la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